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lineRule="exact" w:line="276" w:before="547" w:after="115"/>
        <w:jc w:val="center"/>
        <w:rPr>
          <w:spacing w:val="-10"/>
          <w:sz w:val="30"/>
          <w:szCs w:val="30"/>
        </w:rPr>
      </w:pPr>
      <w:r>
        <w:rPr>
          <w:rFonts w:eastAsia="Arial" w:cs="Arial" w:ascii="Arial" w:hAnsi="Arial"/>
          <w:b/>
          <w:bCs/>
          <w:i w:val="false"/>
          <w:iCs w:val="false"/>
          <w:color w:val="1F3864"/>
          <w:spacing w:val="-10"/>
          <w:sz w:val="30"/>
          <w:szCs w:val="30"/>
        </w:rPr>
        <w:t>MCRO | Aspose Software Impossibility × Competency Statute Convergence</w:t>
      </w:r>
    </w:p>
    <w:p>
      <w:pPr>
        <w:pStyle w:val="Normal"/>
        <w:spacing w:lineRule="exact" w:line="276" w:before="202" w:after="317"/>
        <w:jc w:val="center"/>
        <w:rPr>
          <w:sz w:val="28"/>
          <w:szCs w:val="28"/>
        </w:rPr>
      </w:pPr>
      <w:r>
        <w:rPr>
          <w:rFonts w:eastAsia="Arial" w:cs="Arial"/>
          <w:b/>
          <w:bCs/>
          <w:i w:val="false"/>
          <w:iCs w:val="false"/>
          <w:color w:val="D94F30"/>
          <w:sz w:val="28"/>
          <w:szCs w:val="28"/>
        </w:rPr>
        <w:t>The Notice of Intent to Prosecute as Mechanism of Indefinite Control</w:t>
      </w:r>
    </w:p>
    <w:tbl>
      <w:tblPr>
        <w:tblW w:w="10075" w:type="dxa"/>
        <w:jc w:val="left"/>
        <w:tblInd w:w="0" w:type="dxa"/>
        <w:tblLayout w:type="fixed"/>
        <w:tblCellMar>
          <w:top w:w="60" w:type="dxa"/>
          <w:left w:w="100" w:type="dxa"/>
          <w:bottom w:w="60" w:type="dxa"/>
          <w:right w:w="100" w:type="dxa"/>
        </w:tblCellMar>
      </w:tblPr>
      <w:tblGrid>
        <w:gridCol w:w="2798"/>
        <w:gridCol w:w="7276"/>
      </w:tblGrid>
      <w:tr>
        <w:trPr/>
        <w:tc>
          <w:tcPr>
            <w:tcW w:w="2798" w:type="dxa"/>
            <w:tcBorders>
              <w:top w:val="single" w:sz="2" w:space="0" w:color="CCCCCC"/>
              <w:left w:val="single" w:sz="2" w:space="0" w:color="CCCCCC"/>
              <w:bottom w:val="single" w:sz="2" w:space="0" w:color="CCCCCC"/>
              <w:right w:val="single" w:sz="2" w:space="0" w:color="CCCCCC"/>
            </w:tcBorders>
            <w:shd w:fill="1F3864" w:val="clear"/>
          </w:tcPr>
          <w:p>
            <w:pPr>
              <w:pStyle w:val="Normal"/>
              <w:widowControl w:val="false"/>
              <w:rPr>
                <w:sz w:val="20"/>
                <w:szCs w:val="20"/>
              </w:rPr>
            </w:pPr>
            <w:r>
              <w:rPr>
                <w:rFonts w:eastAsia="Arial" w:cs="Arial"/>
                <w:b/>
                <w:bCs/>
                <w:color w:val="FFFFFF"/>
                <w:sz w:val="20"/>
                <w:szCs w:val="20"/>
              </w:rPr>
              <w:t>Property</w:t>
            </w:r>
          </w:p>
        </w:tc>
        <w:tc>
          <w:tcPr>
            <w:tcW w:w="7276" w:type="dxa"/>
            <w:tcBorders>
              <w:top w:val="single" w:sz="2" w:space="0" w:color="CCCCCC"/>
              <w:left w:val="single" w:sz="2" w:space="0" w:color="CCCCCC"/>
              <w:bottom w:val="single" w:sz="2" w:space="0" w:color="CCCCCC"/>
              <w:right w:val="single" w:sz="2" w:space="0" w:color="CCCCCC"/>
            </w:tcBorders>
            <w:shd w:fill="1F3864" w:val="clear"/>
          </w:tcPr>
          <w:p>
            <w:pPr>
              <w:pStyle w:val="Normal"/>
              <w:widowControl w:val="false"/>
              <w:rPr>
                <w:sz w:val="20"/>
                <w:szCs w:val="20"/>
              </w:rPr>
            </w:pPr>
            <w:r>
              <w:rPr>
                <w:rFonts w:eastAsia="Arial" w:cs="Arial"/>
                <w:b/>
                <w:bCs/>
                <w:color w:val="FFFFFF"/>
                <w:sz w:val="20"/>
                <w:szCs w:val="20"/>
              </w:rPr>
              <w:t>Value</w:t>
            </w:r>
          </w:p>
        </w:tc>
      </w:tr>
      <w:tr>
        <w:trPr/>
        <w:tc>
          <w:tcPr>
            <w:tcW w:w="2798" w:type="dxa"/>
            <w:tcBorders>
              <w:top w:val="single" w:sz="2" w:space="0" w:color="CCCCCC"/>
              <w:left w:val="single" w:sz="2" w:space="0" w:color="CCCCCC"/>
              <w:bottom w:val="single" w:sz="2" w:space="0" w:color="CCCCCC"/>
              <w:right w:val="single" w:sz="2" w:space="0" w:color="CCCCCC"/>
            </w:tcBorders>
          </w:tcPr>
          <w:p>
            <w:pPr>
              <w:pStyle w:val="Normal"/>
              <w:widowControl w:val="false"/>
              <w:rPr>
                <w:sz w:val="20"/>
                <w:szCs w:val="20"/>
              </w:rPr>
            </w:pPr>
            <w:r>
              <w:rPr>
                <w:rFonts w:eastAsia="Arial" w:cs="Arial"/>
                <w:b w:val="false"/>
                <w:bCs w:val="false"/>
                <w:sz w:val="20"/>
                <w:szCs w:val="20"/>
              </w:rPr>
              <w:t>Prepared by</w:t>
            </w:r>
          </w:p>
        </w:tc>
        <w:tc>
          <w:tcPr>
            <w:tcW w:w="7276" w:type="dxa"/>
            <w:tcBorders>
              <w:top w:val="single" w:sz="2" w:space="0" w:color="CCCCCC"/>
              <w:left w:val="single" w:sz="2" w:space="0" w:color="CCCCCC"/>
              <w:bottom w:val="single" w:sz="2" w:space="0" w:color="CCCCCC"/>
              <w:right w:val="single" w:sz="2" w:space="0" w:color="CCCCCC"/>
            </w:tcBorders>
          </w:tcPr>
          <w:p>
            <w:pPr>
              <w:pStyle w:val="Normal"/>
              <w:widowControl w:val="false"/>
              <w:rPr>
                <w:sz w:val="20"/>
                <w:szCs w:val="20"/>
              </w:rPr>
            </w:pPr>
            <w:r>
              <w:rPr>
                <w:rFonts w:eastAsia="Arial" w:cs="Arial"/>
                <w:b w:val="false"/>
                <w:bCs w:val="false"/>
                <w:sz w:val="20"/>
                <w:szCs w:val="20"/>
              </w:rPr>
              <w:t>Matthew David Guertin, Pro Se Defendant</w:t>
            </w:r>
          </w:p>
        </w:tc>
      </w:tr>
      <w:tr>
        <w:trPr/>
        <w:tc>
          <w:tcPr>
            <w:tcW w:w="2798"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0"/>
                <w:szCs w:val="20"/>
              </w:rPr>
            </w:pPr>
            <w:r>
              <w:rPr>
                <w:rFonts w:eastAsia="Arial" w:cs="Arial"/>
                <w:b w:val="false"/>
                <w:bCs w:val="false"/>
                <w:sz w:val="20"/>
                <w:szCs w:val="20"/>
              </w:rPr>
              <w:t>Case Reference</w:t>
            </w:r>
          </w:p>
        </w:tc>
        <w:tc>
          <w:tcPr>
            <w:tcW w:w="7276"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0"/>
                <w:szCs w:val="20"/>
              </w:rPr>
            </w:pPr>
            <w:r>
              <w:rPr>
                <w:rFonts w:eastAsia="Arial" w:cs="Arial"/>
                <w:b w:val="false"/>
                <w:bCs w:val="false"/>
                <w:sz w:val="20"/>
                <w:szCs w:val="20"/>
              </w:rPr>
              <w:t>State of Minnesota v. Guertin | 27-CR-23-1886</w:t>
            </w:r>
          </w:p>
        </w:tc>
      </w:tr>
      <w:tr>
        <w:trPr/>
        <w:tc>
          <w:tcPr>
            <w:tcW w:w="2798" w:type="dxa"/>
            <w:tcBorders>
              <w:top w:val="single" w:sz="2" w:space="0" w:color="CCCCCC"/>
              <w:left w:val="single" w:sz="2" w:space="0" w:color="CCCCCC"/>
              <w:bottom w:val="single" w:sz="2" w:space="0" w:color="CCCCCC"/>
              <w:right w:val="single" w:sz="2" w:space="0" w:color="CCCCCC"/>
            </w:tcBorders>
          </w:tcPr>
          <w:p>
            <w:pPr>
              <w:pStyle w:val="Normal"/>
              <w:widowControl w:val="false"/>
              <w:rPr>
                <w:sz w:val="20"/>
                <w:szCs w:val="20"/>
              </w:rPr>
            </w:pPr>
            <w:r>
              <w:rPr>
                <w:rFonts w:eastAsia="Arial" w:cs="Arial"/>
                <w:b w:val="false"/>
                <w:bCs w:val="false"/>
                <w:sz w:val="20"/>
                <w:szCs w:val="20"/>
              </w:rPr>
              <w:t>Court</w:t>
            </w:r>
          </w:p>
        </w:tc>
        <w:tc>
          <w:tcPr>
            <w:tcW w:w="7276" w:type="dxa"/>
            <w:tcBorders>
              <w:top w:val="single" w:sz="2" w:space="0" w:color="CCCCCC"/>
              <w:left w:val="single" w:sz="2" w:space="0" w:color="CCCCCC"/>
              <w:bottom w:val="single" w:sz="2" w:space="0" w:color="CCCCCC"/>
              <w:right w:val="single" w:sz="2" w:space="0" w:color="CCCCCC"/>
            </w:tcBorders>
          </w:tcPr>
          <w:p>
            <w:pPr>
              <w:pStyle w:val="Normal"/>
              <w:widowControl w:val="false"/>
              <w:rPr>
                <w:sz w:val="20"/>
                <w:szCs w:val="20"/>
              </w:rPr>
            </w:pPr>
            <w:r>
              <w:rPr>
                <w:rFonts w:eastAsia="Arial" w:cs="Arial"/>
                <w:b w:val="false"/>
                <w:bCs w:val="false"/>
                <w:sz w:val="20"/>
                <w:szCs w:val="20"/>
              </w:rPr>
              <w:t>Fourth Judicial District Court, Hennepin County</w:t>
            </w:r>
          </w:p>
        </w:tc>
      </w:tr>
      <w:tr>
        <w:trPr/>
        <w:tc>
          <w:tcPr>
            <w:tcW w:w="2798"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0"/>
                <w:szCs w:val="20"/>
              </w:rPr>
            </w:pPr>
            <w:r>
              <w:rPr>
                <w:rFonts w:eastAsia="Arial" w:cs="Arial"/>
                <w:b w:val="false"/>
                <w:bCs w:val="false"/>
                <w:sz w:val="20"/>
                <w:szCs w:val="20"/>
              </w:rPr>
              <w:t>Report Date</w:t>
            </w:r>
          </w:p>
        </w:tc>
        <w:tc>
          <w:tcPr>
            <w:tcW w:w="7276"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0"/>
                <w:szCs w:val="20"/>
              </w:rPr>
            </w:pPr>
            <w:r>
              <w:rPr>
                <w:rFonts w:eastAsia="Arial" w:cs="Arial"/>
                <w:b w:val="false"/>
                <w:bCs w:val="false"/>
                <w:sz w:val="20"/>
                <w:szCs w:val="20"/>
              </w:rPr>
              <w:t>March 2026</w:t>
            </w:r>
          </w:p>
        </w:tc>
      </w:tr>
      <w:tr>
        <w:trPr/>
        <w:tc>
          <w:tcPr>
            <w:tcW w:w="2798" w:type="dxa"/>
            <w:tcBorders>
              <w:top w:val="single" w:sz="2" w:space="0" w:color="CCCCCC"/>
              <w:left w:val="single" w:sz="2" w:space="0" w:color="CCCCCC"/>
              <w:bottom w:val="single" w:sz="2" w:space="0" w:color="CCCCCC"/>
              <w:right w:val="single" w:sz="2" w:space="0" w:color="CCCCCC"/>
            </w:tcBorders>
          </w:tcPr>
          <w:p>
            <w:pPr>
              <w:pStyle w:val="Normal"/>
              <w:widowControl w:val="false"/>
              <w:rPr>
                <w:sz w:val="20"/>
                <w:szCs w:val="20"/>
              </w:rPr>
            </w:pPr>
            <w:r>
              <w:rPr>
                <w:rFonts w:eastAsia="Arial" w:cs="Arial"/>
                <w:b w:val="false"/>
                <w:bCs w:val="false"/>
                <w:sz w:val="20"/>
                <w:szCs w:val="20"/>
              </w:rPr>
              <w:t>Data Source</w:t>
            </w:r>
          </w:p>
        </w:tc>
        <w:tc>
          <w:tcPr>
            <w:tcW w:w="7276" w:type="dxa"/>
            <w:tcBorders>
              <w:top w:val="single" w:sz="2" w:space="0" w:color="CCCCCC"/>
              <w:left w:val="single" w:sz="2" w:space="0" w:color="CCCCCC"/>
              <w:bottom w:val="single" w:sz="2" w:space="0" w:color="CCCCCC"/>
              <w:right w:val="single" w:sz="2" w:space="0" w:color="CCCCCC"/>
            </w:tcBorders>
          </w:tcPr>
          <w:p>
            <w:pPr>
              <w:pStyle w:val="Normal"/>
              <w:widowControl w:val="false"/>
              <w:rPr>
                <w:sz w:val="20"/>
                <w:szCs w:val="20"/>
              </w:rPr>
            </w:pPr>
            <w:r>
              <w:rPr>
                <w:rFonts w:eastAsia="Arial" w:cs="Arial"/>
                <w:b w:val="false"/>
                <w:bCs w:val="false"/>
                <w:sz w:val="20"/>
                <w:szCs w:val="20"/>
              </w:rPr>
              <w:t>Minnesota Court Records Online (MCRO) — Public Records</w:t>
            </w:r>
          </w:p>
        </w:tc>
      </w:tr>
      <w:tr>
        <w:trPr/>
        <w:tc>
          <w:tcPr>
            <w:tcW w:w="2798"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0"/>
                <w:szCs w:val="20"/>
              </w:rPr>
            </w:pPr>
            <w:r>
              <w:rPr>
                <w:rFonts w:eastAsia="Arial" w:cs="Arial"/>
                <w:b w:val="false"/>
                <w:bCs w:val="false"/>
                <w:sz w:val="20"/>
                <w:szCs w:val="20"/>
              </w:rPr>
              <w:t>Corpus Size</w:t>
            </w:r>
          </w:p>
        </w:tc>
        <w:tc>
          <w:tcPr>
            <w:tcW w:w="7276"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0"/>
                <w:szCs w:val="20"/>
              </w:rPr>
            </w:pPr>
            <w:r>
              <w:rPr>
                <w:rFonts w:eastAsia="Arial" w:cs="Arial"/>
                <w:b w:val="false"/>
                <w:bCs w:val="false"/>
                <w:sz w:val="20"/>
                <w:szCs w:val="20"/>
              </w:rPr>
              <w:t>4,251 PDFs across 245 cases | 2016–2025</w:t>
            </w:r>
          </w:p>
        </w:tc>
      </w:tr>
      <w:tr>
        <w:trPr/>
        <w:tc>
          <w:tcPr>
            <w:tcW w:w="2798" w:type="dxa"/>
            <w:tcBorders>
              <w:top w:val="single" w:sz="2" w:space="0" w:color="CCCCCC"/>
              <w:left w:val="single" w:sz="2" w:space="0" w:color="CCCCCC"/>
              <w:bottom w:val="single" w:sz="2" w:space="0" w:color="CCCCCC"/>
              <w:right w:val="single" w:sz="2" w:space="0" w:color="CCCCCC"/>
            </w:tcBorders>
          </w:tcPr>
          <w:p>
            <w:pPr>
              <w:pStyle w:val="Normal"/>
              <w:widowControl w:val="false"/>
              <w:rPr>
                <w:sz w:val="20"/>
                <w:szCs w:val="20"/>
              </w:rPr>
            </w:pPr>
            <w:r>
              <w:rPr>
                <w:rFonts w:eastAsia="Arial" w:cs="Arial"/>
                <w:b w:val="false"/>
                <w:bCs w:val="false"/>
                <w:sz w:val="20"/>
                <w:szCs w:val="20"/>
              </w:rPr>
              <w:t>Database</w:t>
            </w:r>
          </w:p>
        </w:tc>
        <w:tc>
          <w:tcPr>
            <w:tcW w:w="7276" w:type="dxa"/>
            <w:tcBorders>
              <w:top w:val="single" w:sz="2" w:space="0" w:color="CCCCCC"/>
              <w:left w:val="single" w:sz="2" w:space="0" w:color="CCCCCC"/>
              <w:bottom w:val="single" w:sz="2" w:space="0" w:color="CCCCCC"/>
              <w:right w:val="single" w:sz="2" w:space="0" w:color="CCCCCC"/>
            </w:tcBorders>
          </w:tcPr>
          <w:p>
            <w:pPr>
              <w:pStyle w:val="Normal"/>
              <w:widowControl w:val="false"/>
              <w:rPr>
                <w:sz w:val="20"/>
                <w:szCs w:val="20"/>
              </w:rPr>
            </w:pPr>
            <w:r>
              <w:rPr>
                <w:rFonts w:eastAsia="Arial" w:cs="Arial"/>
                <w:b w:val="false"/>
                <w:bCs w:val="false"/>
                <w:sz w:val="20"/>
                <w:szCs w:val="20"/>
              </w:rPr>
              <w:t>PostgreSQL (Supabase) — custom forensic schema</w:t>
            </w:r>
          </w:p>
        </w:tc>
      </w:tr>
      <w:tr>
        <w:trPr/>
        <w:tc>
          <w:tcPr>
            <w:tcW w:w="2798"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0"/>
                <w:szCs w:val="20"/>
              </w:rPr>
            </w:pPr>
            <w:r>
              <w:rPr>
                <w:rFonts w:eastAsia="Arial" w:cs="Arial"/>
                <w:b w:val="false"/>
                <w:bCs w:val="false"/>
                <w:sz w:val="20"/>
                <w:szCs w:val="20"/>
              </w:rPr>
              <w:t>Reproducibility</w:t>
            </w:r>
          </w:p>
        </w:tc>
        <w:tc>
          <w:tcPr>
            <w:tcW w:w="7276"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0"/>
                <w:szCs w:val="20"/>
              </w:rPr>
            </w:pPr>
            <w:r>
              <w:rPr>
                <w:rFonts w:eastAsia="Arial" w:cs="Arial"/>
                <w:b w:val="false"/>
                <w:bCs w:val="false"/>
                <w:sz w:val="20"/>
                <w:szCs w:val="20"/>
              </w:rPr>
              <w:t>All findings query-reproducible. SHA256 hashes independently verifiable.</w:t>
            </w:r>
          </w:p>
        </w:tc>
      </w:tr>
    </w:tbl>
    <w:p>
      <w:pPr>
        <w:pStyle w:val="Heading2"/>
        <w:spacing w:lineRule="exact" w:line="276" w:before="230" w:after="115"/>
        <w:rPr>
          <w:rFonts w:ascii="Arial" w:hAnsi="Arial" w:eastAsia="Arial" w:cs="Arial"/>
          <w:b/>
          <w:b/>
          <w:bCs/>
          <w:i w:val="false"/>
          <w:i w:val="false"/>
          <w:iCs w:val="false"/>
          <w:sz w:val="20"/>
          <w:szCs w:val="20"/>
        </w:rPr>
      </w:pPr>
      <w:r>
        <w:rPr>
          <w:rFonts w:eastAsia="Arial" w:cs="Arial" w:ascii="Arial" w:hAnsi="Arial"/>
          <w:b/>
          <w:bCs/>
          <w:i w:val="false"/>
          <w:iCs w:val="false"/>
          <w:sz w:val="20"/>
          <w:szCs w:val="20"/>
        </w:rPr>
      </w:r>
    </w:p>
    <w:p>
      <w:pPr>
        <w:pStyle w:val="Heading2"/>
        <w:spacing w:lineRule="exact" w:line="276" w:before="230" w:after="115"/>
        <w:rPr>
          <w:rFonts w:ascii="Arial" w:hAnsi="Arial" w:eastAsia="Arial" w:cs="Arial"/>
          <w:b/>
          <w:b/>
          <w:bCs/>
          <w:i w:val="false"/>
          <w:i w:val="false"/>
          <w:iCs w:val="false"/>
          <w:sz w:val="20"/>
          <w:szCs w:val="20"/>
        </w:rPr>
      </w:pPr>
      <w:r>
        <w:rPr>
          <w:rFonts w:eastAsia="Arial" w:cs="Arial" w:ascii="Arial" w:hAnsi="Arial"/>
          <w:b/>
          <w:bCs/>
          <w:i w:val="false"/>
          <w:iCs w:val="false"/>
          <w:sz w:val="20"/>
          <w:szCs w:val="20"/>
        </w:rPr>
      </w:r>
    </w:p>
    <w:p>
      <w:pPr>
        <w:pStyle w:val="Heading2"/>
        <w:spacing w:lineRule="exact" w:line="276" w:before="230" w:after="115"/>
        <w:rPr>
          <w:rFonts w:ascii="Arial" w:hAnsi="Arial" w:eastAsia="Arial" w:cs="Arial"/>
          <w:b/>
          <w:b/>
          <w:bCs/>
          <w:i w:val="false"/>
          <w:i w:val="false"/>
          <w:iCs w:val="false"/>
          <w:sz w:val="20"/>
          <w:szCs w:val="20"/>
        </w:rPr>
      </w:pPr>
      <w:r>
        <w:rPr>
          <w:rFonts w:eastAsia="Arial" w:cs="Arial" w:ascii="Arial" w:hAnsi="Arial"/>
          <w:b/>
          <w:bCs/>
          <w:i w:val="false"/>
          <w:iCs w:val="false"/>
          <w:sz w:val="20"/>
          <w:szCs w:val="20"/>
        </w:rPr>
      </w:r>
    </w:p>
    <w:p>
      <w:pPr>
        <w:pStyle w:val="Heading2"/>
        <w:spacing w:lineRule="exact" w:line="276" w:before="230" w:after="115"/>
        <w:rPr>
          <w:rFonts w:ascii="Arial" w:hAnsi="Arial" w:eastAsia="Arial" w:cs="Arial"/>
          <w:b/>
          <w:b/>
          <w:bCs/>
          <w:i w:val="false"/>
          <w:i w:val="false"/>
          <w:iCs w:val="false"/>
          <w:sz w:val="20"/>
          <w:szCs w:val="20"/>
        </w:rPr>
      </w:pPr>
      <w:r>
        <w:rPr>
          <w:rFonts w:eastAsia="Arial" w:cs="Arial" w:ascii="Arial" w:hAnsi="Arial"/>
          <w:b/>
          <w:bCs/>
          <w:i w:val="false"/>
          <w:iCs w:val="false"/>
          <w:sz w:val="20"/>
          <w:szCs w:val="20"/>
        </w:rPr>
      </w:r>
    </w:p>
    <w:p>
      <w:pPr>
        <w:pStyle w:val="Heading2"/>
        <w:spacing w:lineRule="exact" w:line="276" w:before="230" w:after="115"/>
        <w:rPr>
          <w:rFonts w:ascii="Arial" w:hAnsi="Arial" w:eastAsia="Arial" w:cs="Arial"/>
          <w:b/>
          <w:b/>
          <w:bCs/>
          <w:i w:val="false"/>
          <w:i w:val="false"/>
          <w:iCs w:val="false"/>
          <w:sz w:val="20"/>
          <w:szCs w:val="20"/>
        </w:rPr>
      </w:pPr>
      <w:r>
        <w:rPr>
          <w:rFonts w:eastAsia="Arial" w:cs="Arial" w:ascii="Arial" w:hAnsi="Arial"/>
          <w:b/>
          <w:bCs/>
          <w:i w:val="false"/>
          <w:iCs w:val="false"/>
          <w:sz w:val="20"/>
          <w:szCs w:val="20"/>
        </w:rPr>
      </w:r>
    </w:p>
    <w:p>
      <w:pPr>
        <w:pStyle w:val="Heading2"/>
        <w:spacing w:lineRule="exact" w:line="276" w:before="230" w:after="115"/>
        <w:rPr>
          <w:rFonts w:ascii="Arial" w:hAnsi="Arial" w:eastAsia="Arial" w:cs="Arial"/>
          <w:b/>
          <w:b/>
          <w:bCs/>
          <w:i w:val="false"/>
          <w:i w:val="false"/>
          <w:iCs w:val="false"/>
          <w:sz w:val="20"/>
          <w:szCs w:val="20"/>
        </w:rPr>
      </w:pPr>
      <w:r>
        <w:rPr>
          <w:rFonts w:eastAsia="Arial" w:cs="Arial" w:ascii="Arial" w:hAnsi="Arial"/>
          <w:b/>
          <w:bCs/>
          <w:i w:val="false"/>
          <w:iCs w:val="false"/>
          <w:sz w:val="20"/>
          <w:szCs w:val="20"/>
        </w:rPr>
      </w:r>
    </w:p>
    <w:p>
      <w:pPr>
        <w:pStyle w:val="Heading2"/>
        <w:spacing w:lineRule="exact" w:line="276" w:before="230" w:after="115"/>
        <w:rPr>
          <w:rFonts w:ascii="Arial" w:hAnsi="Arial" w:eastAsia="Arial" w:cs="Arial"/>
          <w:b/>
          <w:b/>
          <w:bCs/>
          <w:i w:val="false"/>
          <w:i w:val="false"/>
          <w:iCs w:val="false"/>
          <w:sz w:val="20"/>
          <w:szCs w:val="20"/>
        </w:rPr>
      </w:pPr>
      <w:r>
        <w:rPr>
          <w:rFonts w:eastAsia="Arial" w:cs="Arial" w:ascii="Arial" w:hAnsi="Arial"/>
          <w:b/>
          <w:bCs/>
          <w:i w:val="false"/>
          <w:iCs w:val="false"/>
          <w:sz w:val="20"/>
          <w:szCs w:val="20"/>
        </w:rPr>
      </w:r>
    </w:p>
    <w:p>
      <w:pPr>
        <w:pStyle w:val="Heading2"/>
        <w:spacing w:lineRule="exact" w:line="276" w:before="230" w:after="115"/>
        <w:rPr>
          <w:rFonts w:ascii="Arial" w:hAnsi="Arial" w:eastAsia="Arial" w:cs="Arial"/>
          <w:b/>
          <w:b/>
          <w:bCs/>
          <w:i w:val="false"/>
          <w:i w:val="false"/>
          <w:iCs w:val="false"/>
          <w:sz w:val="20"/>
          <w:szCs w:val="20"/>
        </w:rPr>
      </w:pPr>
      <w:r>
        <w:rPr>
          <w:rFonts w:eastAsia="Arial" w:cs="Arial" w:ascii="Arial" w:hAnsi="Arial"/>
          <w:b/>
          <w:bCs/>
          <w:i w:val="false"/>
          <w:iCs w:val="false"/>
          <w:sz w:val="20"/>
          <w:szCs w:val="20"/>
        </w:rPr>
      </w:r>
    </w:p>
    <w:p>
      <w:pPr>
        <w:pStyle w:val="Heading2"/>
        <w:spacing w:lineRule="exact" w:line="276" w:before="230" w:after="115"/>
        <w:rPr>
          <w:rFonts w:ascii="Arial" w:hAnsi="Arial" w:eastAsia="Arial" w:cs="Arial"/>
          <w:b/>
          <w:b/>
          <w:bCs/>
          <w:i w:val="false"/>
          <w:i w:val="false"/>
          <w:iCs w:val="false"/>
          <w:sz w:val="20"/>
          <w:szCs w:val="20"/>
        </w:rPr>
      </w:pPr>
      <w:r>
        <w:rPr>
          <w:rFonts w:eastAsia="Arial" w:cs="Arial" w:ascii="Arial" w:hAnsi="Arial"/>
          <w:b/>
          <w:bCs/>
          <w:i w:val="false"/>
          <w:iCs w:val="false"/>
          <w:sz w:val="20"/>
          <w:szCs w:val="20"/>
        </w:rPr>
      </w:r>
    </w:p>
    <w:p>
      <w:pPr>
        <w:pStyle w:val="Heading2"/>
        <w:spacing w:lineRule="exact" w:line="276" w:before="86" w:after="115"/>
        <w:rPr>
          <w:sz w:val="24"/>
          <w:szCs w:val="24"/>
        </w:rPr>
      </w:pPr>
      <w:r>
        <w:rPr>
          <w:rFonts w:eastAsia="Arial" w:cs="Arial" w:ascii="Arial" w:hAnsi="Arial"/>
          <w:b/>
          <w:bCs/>
          <w:i w:val="false"/>
          <w:iCs w:val="false"/>
          <w:sz w:val="24"/>
          <w:szCs w:val="24"/>
        </w:rPr>
        <w:t>IMPORTANT DISCLAIMER</w:t>
      </w:r>
    </w:p>
    <w:p>
      <w:pPr>
        <w:pStyle w:val="Normal"/>
        <w:spacing w:lineRule="auto" w:line="276" w:before="0" w:after="86"/>
        <w:jc w:val="both"/>
        <w:rPr>
          <w:sz w:val="22"/>
          <w:szCs w:val="22"/>
        </w:rPr>
      </w:pPr>
      <w:r>
        <w:rPr>
          <w:rFonts w:eastAsia="Arial" w:cs="Arial"/>
          <w:b w:val="false"/>
          <w:bCs w:val="false"/>
          <w:i w:val="false"/>
          <w:iCs w:val="false"/>
          <w:sz w:val="22"/>
          <w:szCs w:val="22"/>
        </w:rPr>
        <w:t>This report presents objective forensic data findings reproducible from the source database, combined with verbatim statutory text from Minnesota Statutes 611.40–611.59 and verbatim transcript excerpts from recorded court hearings.</w:t>
      </w:r>
    </w:p>
    <w:p>
      <w:pPr>
        <w:pStyle w:val="Normal"/>
        <w:spacing w:lineRule="auto" w:line="276" w:before="0" w:after="86"/>
        <w:jc w:val="both"/>
        <w:rPr>
          <w:sz w:val="22"/>
          <w:szCs w:val="22"/>
        </w:rPr>
      </w:pPr>
      <w:r>
        <w:rPr>
          <w:rFonts w:eastAsia="Arial" w:cs="Arial"/>
          <w:b w:val="false"/>
          <w:bCs w:val="false"/>
          <w:i w:val="false"/>
          <w:iCs w:val="false"/>
          <w:sz w:val="22"/>
          <w:szCs w:val="22"/>
        </w:rPr>
        <w:t>This report does not assert conclusions about guilt, intent, motive, or criminal conduct by any party.</w:t>
      </w:r>
    </w:p>
    <w:p>
      <w:pPr>
        <w:pStyle w:val="Normal"/>
        <w:spacing w:lineRule="auto" w:line="276" w:before="0" w:after="86"/>
        <w:jc w:val="both"/>
        <w:rPr>
          <w:sz w:val="22"/>
          <w:szCs w:val="22"/>
        </w:rPr>
      </w:pPr>
      <w:r>
        <w:rPr>
          <w:rFonts w:eastAsia="Arial" w:cs="Arial"/>
          <w:sz w:val="22"/>
          <w:szCs w:val="22"/>
        </w:rPr>
        <w:t xml:space="preserve">Where this report states that a document’s XMP creation date precedes the release date of the software identified in its producer string, </w:t>
      </w:r>
      <w:r>
        <w:rPr>
          <w:rFonts w:eastAsia="Arial" w:cs="Arial"/>
          <w:b/>
          <w:bCs/>
          <w:sz w:val="22"/>
          <w:szCs w:val="22"/>
        </w:rPr>
        <w:t>this is a statement of mathematical fact, not an inference.</w:t>
      </w:r>
      <w:r>
        <w:rPr>
          <w:rFonts w:eastAsia="Arial" w:cs="Arial"/>
          <w:sz w:val="22"/>
          <w:szCs w:val="22"/>
        </w:rPr>
        <w:t xml:space="preserve"> A document cannot be created by software that does not yet exist. This requires no interpretive judgment.</w:t>
      </w:r>
    </w:p>
    <w:p>
      <w:pPr>
        <w:pStyle w:val="Normal"/>
        <w:spacing w:lineRule="auto" w:line="276" w:before="0" w:after="86"/>
        <w:jc w:val="both"/>
        <w:rPr>
          <w:sz w:val="22"/>
          <w:szCs w:val="22"/>
        </w:rPr>
      </w:pPr>
      <w:r>
        <w:rPr>
          <w:rFonts w:eastAsia="Arial" w:cs="Arial"/>
          <w:b w:val="false"/>
          <w:bCs w:val="false"/>
          <w:i w:val="false"/>
          <w:iCs w:val="false"/>
          <w:sz w:val="22"/>
          <w:szCs w:val="22"/>
        </w:rPr>
        <w:t>Each finding is a documented pattern that warrants independent expert examination. Statutory text is quoted verbatim from the Minnesota Revisor’s Office. Transcript excerpts are verbatim from recorded hearings in case 27-CR-23-1886.</w:t>
      </w:r>
      <w:r>
        <w:br w:type="page"/>
      </w:r>
    </w:p>
    <w:p>
      <w:pPr>
        <w:pStyle w:val="Heading2"/>
        <w:spacing w:lineRule="exact" w:line="276" w:before="86" w:after="115"/>
        <w:rPr>
          <w:sz w:val="24"/>
          <w:szCs w:val="24"/>
        </w:rPr>
      </w:pPr>
      <w:r>
        <w:rPr>
          <w:rFonts w:eastAsia="Arial" w:cs="Arial" w:ascii="Arial" w:hAnsi="Arial"/>
          <w:b/>
          <w:bCs/>
          <w:i w:val="false"/>
          <w:iCs w:val="false"/>
          <w:sz w:val="24"/>
          <w:szCs w:val="24"/>
        </w:rPr>
        <w:t>EXECUTIVE SUMMARY</w:t>
      </w:r>
    </w:p>
    <w:p>
      <w:pPr>
        <w:pStyle w:val="Normal"/>
        <w:spacing w:lineRule="auto" w:line="276" w:before="0" w:after="115"/>
        <w:ind w:left="360" w:hanging="360"/>
        <w:jc w:val="both"/>
        <w:rPr/>
      </w:pPr>
      <w:r>
        <w:rPr>
          <w:rFonts w:eastAsia="Arial" w:cs="Arial"/>
          <w:b/>
          <w:bCs/>
          <w:sz w:val="22"/>
          <w:szCs w:val="22"/>
        </w:rPr>
        <w:t xml:space="preserve">•  </w:t>
      </w:r>
      <w:r>
        <w:rPr>
          <w:rFonts w:eastAsia="Arial" w:cs="Arial"/>
          <w:sz w:val="22"/>
          <w:szCs w:val="22"/>
        </w:rPr>
        <w:t>27 documents in the MCRO corpus carry the producer string “Aspose.Words for .NET 14.2.0.0,” identifying them as created by a specific version of commercial document-generation software released in February 2014.</w:t>
      </w:r>
    </w:p>
    <w:p>
      <w:pPr>
        <w:pStyle w:val="Normal"/>
        <w:spacing w:lineRule="auto" w:line="276" w:before="0" w:after="115"/>
        <w:ind w:left="360" w:hanging="360"/>
        <w:jc w:val="both"/>
        <w:rPr/>
      </w:pPr>
      <w:r>
        <w:rPr>
          <w:rFonts w:eastAsia="Arial" w:cs="Arial"/>
          <w:b/>
          <w:bCs/>
          <w:sz w:val="22"/>
          <w:szCs w:val="22"/>
        </w:rPr>
        <w:t xml:space="preserve">•  </w:t>
      </w:r>
      <w:r>
        <w:rPr>
          <w:rFonts w:eastAsia="Arial" w:cs="Arial"/>
          <w:sz w:val="22"/>
          <w:szCs w:val="22"/>
        </w:rPr>
        <w:t>7 of these 27 documents have XMP creation dates before February 2014 — meaning they claim to have been created by software that did not yet exist. This is a temporal impossibility requiring no interpretive judgment.</w:t>
      </w:r>
    </w:p>
    <w:p>
      <w:pPr>
        <w:pStyle w:val="Normal"/>
        <w:spacing w:lineRule="auto" w:line="276" w:before="0" w:after="115"/>
        <w:ind w:left="360" w:hanging="360"/>
        <w:jc w:val="both"/>
        <w:rPr/>
      </w:pPr>
      <w:r>
        <w:rPr>
          <w:rFonts w:eastAsia="Arial" w:cs="Arial"/>
          <w:b/>
          <w:bCs/>
          <w:sz w:val="22"/>
          <w:szCs w:val="22"/>
        </w:rPr>
        <w:t xml:space="preserve">•  </w:t>
      </w:r>
      <w:r>
        <w:rPr>
          <w:rFonts w:eastAsia="Arial" w:cs="Arial"/>
          <w:sz w:val="22"/>
          <w:szCs w:val="22"/>
        </w:rPr>
        <w:t>17 documents share a single frozen creation timestamp: February 26, 2019, 15:05 UTC. All 17 are “Notice of Intent to Prosecute” filings for 14 different defendants, filed across a span of 1,056 days (2.9 years).</w:t>
      </w:r>
    </w:p>
    <w:p>
      <w:pPr>
        <w:pStyle w:val="Normal"/>
        <w:spacing w:lineRule="auto" w:line="276" w:before="0" w:after="115"/>
        <w:ind w:left="360" w:hanging="360"/>
        <w:jc w:val="both"/>
        <w:rPr/>
      </w:pPr>
      <w:r>
        <w:rPr>
          <w:rFonts w:eastAsia="Arial" w:cs="Arial"/>
          <w:b/>
          <w:bCs/>
          <w:sz w:val="22"/>
          <w:szCs w:val="22"/>
        </w:rPr>
        <w:t xml:space="preserve">•  </w:t>
      </w:r>
      <w:r>
        <w:rPr>
          <w:rFonts w:eastAsia="Arial" w:cs="Arial"/>
          <w:sz w:val="22"/>
          <w:szCs w:val="22"/>
        </w:rPr>
        <w:t>18 of the 27 Aspose documents (66.7%) are “Notice of Intent to Prosecute” filings — the specific filing type that, under MN Statute 611.45 Subd. 3, prevents the dismissal of criminal charges against defendants found incompetent to stand trial.</w:t>
      </w:r>
    </w:p>
    <w:p>
      <w:pPr>
        <w:pStyle w:val="Normal"/>
        <w:spacing w:lineRule="auto" w:line="276" w:before="0" w:after="115"/>
        <w:ind w:left="360" w:hanging="360"/>
        <w:jc w:val="both"/>
        <w:rPr/>
      </w:pPr>
      <w:r>
        <w:rPr>
          <w:rFonts w:eastAsia="Arial" w:cs="Arial"/>
          <w:b/>
          <w:bCs/>
          <w:sz w:val="22"/>
          <w:szCs w:val="22"/>
        </w:rPr>
        <w:t xml:space="preserve">•  </w:t>
      </w:r>
      <w:r>
        <w:rPr>
          <w:rFonts w:eastAsia="Arial" w:cs="Arial"/>
          <w:sz w:val="22"/>
          <w:szCs w:val="22"/>
        </w:rPr>
        <w:t>Without a “Notice of Intent to Prosecute,” charges against incompetent defendants MUST be dismissed. With one, prosecution can be extended 1–10 years. With continued supervision under 611.49, felony dismissal requirements can be eliminated entirely.</w:t>
      </w:r>
    </w:p>
    <w:p>
      <w:pPr>
        <w:pStyle w:val="Normal"/>
        <w:spacing w:lineRule="auto" w:line="276" w:before="0" w:after="115"/>
        <w:ind w:left="360" w:hanging="360"/>
        <w:jc w:val="both"/>
        <w:rPr/>
      </w:pPr>
      <w:r>
        <w:rPr>
          <w:rFonts w:eastAsia="Arial" w:cs="Arial"/>
          <w:b/>
          <w:bCs/>
          <w:sz w:val="22"/>
          <w:szCs w:val="22"/>
        </w:rPr>
        <w:t xml:space="preserve">•  </w:t>
      </w:r>
      <w:r>
        <w:rPr>
          <w:rFonts w:eastAsia="Arial" w:cs="Arial"/>
          <w:sz w:val="22"/>
          <w:szCs w:val="22"/>
        </w:rPr>
        <w:t>48 “Notice of Intent to Prosecute” filings exist corpus-wide. 18 (37.5%) were generated by Aspose software with fabricated creation metadata. These 18 filings affect 15 defendants.</w:t>
      </w:r>
    </w:p>
    <w:p>
      <w:pPr>
        <w:pStyle w:val="Normal"/>
        <w:spacing w:lineRule="auto" w:line="276" w:before="0" w:after="115"/>
        <w:ind w:left="360" w:hanging="360"/>
        <w:jc w:val="both"/>
        <w:rPr/>
      </w:pPr>
      <w:r>
        <w:rPr>
          <w:rFonts w:eastAsia="Arial" w:cs="Arial"/>
          <w:b/>
          <w:bCs/>
          <w:sz w:val="22"/>
          <w:szCs w:val="22"/>
        </w:rPr>
        <w:t xml:space="preserve">•  </w:t>
      </w:r>
      <w:r>
        <w:rPr>
          <w:rFonts w:eastAsia="Arial" w:cs="Arial"/>
          <w:sz w:val="22"/>
          <w:szCs w:val="22"/>
        </w:rPr>
        <w:t>Defense counsel Raissa Carpenter explicitly told defendant Guertin, on the record (October 7, 2025): “If they file a notice of intent to continue to prosecute you then they can do it indefinitely until a judge agrees to dismiss it in the interests of justice.”</w:t>
      </w:r>
    </w:p>
    <w:p>
      <w:pPr>
        <w:pStyle w:val="Normal"/>
        <w:spacing w:lineRule="auto" w:line="276" w:before="0" w:after="115"/>
        <w:ind w:left="360" w:hanging="360"/>
        <w:jc w:val="both"/>
        <w:rPr/>
      </w:pPr>
      <w:r>
        <w:rPr>
          <w:rFonts w:eastAsia="Arial" w:cs="Arial"/>
          <w:b/>
          <w:bCs/>
          <w:sz w:val="22"/>
          <w:szCs w:val="22"/>
        </w:rPr>
        <w:t xml:space="preserve">•  </w:t>
      </w:r>
      <w:r>
        <w:rPr>
          <w:rFonts w:eastAsia="Arial" w:cs="Arial"/>
          <w:sz w:val="22"/>
          <w:szCs w:val="22"/>
        </w:rPr>
        <w:t>The Minnesota competency statute (611.40–611.59) — 23 pages governing forced medication, indefinite supervision, and suspension of criminal proceedings — contains the word “medication” 59 times and “neuroleptic” 37 times. The words “rights,” “due process,” “constitutional,” and “dangerous” appear zero times.</w:t>
      </w:r>
    </w:p>
    <w:p>
      <w:pPr>
        <w:pStyle w:val="Normal"/>
        <w:spacing w:lineRule="auto" w:line="276" w:before="0" w:after="115"/>
        <w:ind w:left="360" w:hanging="360"/>
        <w:jc w:val="both"/>
        <w:rPr/>
      </w:pPr>
      <w:r>
        <w:rPr>
          <w:rFonts w:eastAsia="Arial" w:cs="Arial"/>
          <w:b/>
          <w:bCs/>
          <w:sz w:val="22"/>
          <w:szCs w:val="22"/>
        </w:rPr>
        <w:t xml:space="preserve">•  </w:t>
      </w:r>
      <w:r>
        <w:rPr>
          <w:rFonts w:eastAsia="Arial" w:cs="Arial"/>
          <w:sz w:val="22"/>
          <w:szCs w:val="22"/>
        </w:rPr>
        <w:t>All 27 Aspose documents also carry the iText® 7.1.16 “Minnesota Judicial Branch; licensed version” pipeline stamp, confirming they were processed through the official court e-filing system (which stamps 97.6% of the corpus).</w:t>
      </w:r>
    </w:p>
    <w:p>
      <w:pPr>
        <w:pStyle w:val="Normal"/>
        <w:spacing w:lineRule="auto" w:line="276" w:before="0" w:after="115"/>
        <w:ind w:left="360" w:hanging="360"/>
        <w:jc w:val="both"/>
        <w:rPr/>
      </w:pPr>
      <w:r>
        <w:rPr>
          <w:rFonts w:eastAsia="Arial" w:cs="Arial"/>
          <w:b/>
          <w:bCs/>
          <w:sz w:val="22"/>
          <w:szCs w:val="22"/>
        </w:rPr>
        <w:t xml:space="preserve">•  </w:t>
      </w:r>
      <w:r>
        <w:rPr>
          <w:rFonts w:eastAsia="Arial" w:cs="Arial"/>
          <w:sz w:val="22"/>
          <w:szCs w:val="22"/>
        </w:rPr>
        <w:t>The single most extreme data point: a “Dismissal by Prosecuting Attorney” for Travis McGIRL (27-CR-20-20866), filed September 30, 2025, carries an XMP creation date of September 9, 2013 — a gap of 4,404 days (12.1 years) and 5 months before the software existed.</w:t>
      </w:r>
    </w:p>
    <w:p>
      <w:pPr>
        <w:pStyle w:val="Normal"/>
        <w:spacing w:lineRule="auto" w:line="276" w:before="0" w:after="115"/>
        <w:ind w:left="360" w:hanging="360"/>
        <w:jc w:val="both"/>
        <w:rPr/>
      </w:pPr>
      <w:r>
        <w:rPr>
          <w:rFonts w:eastAsia="Arial" w:cs="Arial"/>
          <w:b/>
          <w:bCs/>
          <w:sz w:val="22"/>
          <w:szCs w:val="22"/>
        </w:rPr>
        <w:t xml:space="preserve">•  </w:t>
      </w:r>
      <w:r>
        <w:rPr>
          <w:rFonts w:eastAsia="Arial" w:cs="Arial"/>
          <w:sz w:val="22"/>
          <w:szCs w:val="22"/>
        </w:rPr>
        <w:t>22 of 22 Aspose defendants (100%) have Rule 20 competency events in the docket. 14 of 22 (63.6%) have a Finding of Incompetency and Order in their case files. 14 of 22 (63.6%) have ESolutions Development Certificate Authority digital signatures on their documents.</w:t>
      </w:r>
    </w:p>
    <w:p>
      <w:pPr>
        <w:pStyle w:val="Normal"/>
        <w:spacing w:lineRule="auto" w:line="276" w:before="0" w:after="115"/>
        <w:ind w:left="360" w:hanging="360"/>
        <w:jc w:val="both"/>
        <w:rPr/>
      </w:pPr>
      <w:r>
        <w:rPr>
          <w:rFonts w:eastAsia="Arial" w:cs="Arial"/>
          <w:b/>
          <w:bCs/>
          <w:sz w:val="22"/>
          <w:szCs w:val="22"/>
        </w:rPr>
        <w:t xml:space="preserve">•  </w:t>
      </w:r>
      <w:r>
        <w:rPr>
          <w:rFonts w:eastAsia="Arial" w:cs="Arial"/>
          <w:sz w:val="22"/>
          <w:szCs w:val="22"/>
        </w:rPr>
        <w:t>The person declared legally incompetent by this system — Matthew Guertin, holder of US Patent 11,577,177, CEO of InfiniSet, Inc. — built the 4,251-document forensic database that identified the fabricated creation dates on the filing type that enables indefinite prosecution of defendants declared incompetent.</w:t>
      </w:r>
    </w:p>
    <w:p>
      <w:pPr>
        <w:pStyle w:val="Normal"/>
        <w:spacing w:lineRule="exact" w:line="276" w:before="0" w:after="120"/>
        <w:rPr/>
      </w:pPr>
      <w:r>
        <w:rPr/>
      </w:r>
    </w:p>
    <w:p>
      <w:pPr>
        <w:pStyle w:val="Normal"/>
        <w:rPr/>
      </w:pPr>
      <w:r>
        <w:rPr/>
      </w:r>
    </w:p>
    <w:p>
      <w:pPr>
        <w:pStyle w:val="Normal"/>
        <w:rPr/>
      </w:pPr>
      <w:r>
        <w:rPr/>
      </w:r>
    </w:p>
    <w:p>
      <w:pPr>
        <w:pStyle w:val="Normal"/>
        <w:rPr/>
      </w:pPr>
      <w:r>
        <w:rPr/>
      </w:r>
    </w:p>
    <w:p>
      <w:pPr>
        <w:pStyle w:val="Heading3"/>
        <w:spacing w:before="158" w:after="173"/>
        <w:rPr/>
      </w:pPr>
      <w:r>
        <w:rPr>
          <w:sz w:val="22"/>
          <w:szCs w:val="22"/>
        </w:rPr>
        <w:t>Corpus Overview</w:t>
      </w:r>
    </w:p>
    <w:tbl>
      <w:tblPr>
        <w:tblW w:w="10080" w:type="dxa"/>
        <w:jc w:val="left"/>
        <w:tblInd w:w="-2" w:type="dxa"/>
        <w:tblLayout w:type="fixed"/>
        <w:tblCellMar>
          <w:top w:w="60" w:type="dxa"/>
          <w:left w:w="100" w:type="dxa"/>
          <w:bottom w:w="60" w:type="dxa"/>
          <w:right w:w="100" w:type="dxa"/>
        </w:tblCellMar>
      </w:tblPr>
      <w:tblGrid>
        <w:gridCol w:w="4320"/>
        <w:gridCol w:w="1799"/>
        <w:gridCol w:w="3961"/>
      </w:tblGrid>
      <w:tr>
        <w:trPr>
          <w:trHeight w:val="432" w:hRule="exact"/>
        </w:trPr>
        <w:tc>
          <w:tcPr>
            <w:tcW w:w="4320"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rPr>
                <w:sz w:val="22"/>
                <w:szCs w:val="22"/>
              </w:rPr>
            </w:pPr>
            <w:r>
              <w:rPr>
                <w:rFonts w:eastAsia="Arial" w:cs="Arial"/>
                <w:b/>
                <w:bCs/>
                <w:color w:val="FFFFFF"/>
                <w:sz w:val="22"/>
                <w:szCs w:val="22"/>
              </w:rPr>
              <w:t>Metric</w:t>
            </w:r>
          </w:p>
        </w:tc>
        <w:tc>
          <w:tcPr>
            <w:tcW w:w="1799"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rPr>
                <w:sz w:val="22"/>
                <w:szCs w:val="22"/>
              </w:rPr>
            </w:pPr>
            <w:r>
              <w:rPr>
                <w:rFonts w:eastAsia="Arial" w:cs="Arial"/>
                <w:b/>
                <w:bCs/>
                <w:color w:val="FFFFFF"/>
                <w:sz w:val="22"/>
                <w:szCs w:val="22"/>
              </w:rPr>
              <w:t>Value</w:t>
            </w:r>
          </w:p>
        </w:tc>
        <w:tc>
          <w:tcPr>
            <w:tcW w:w="3961"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rPr>
                <w:sz w:val="22"/>
                <w:szCs w:val="22"/>
              </w:rPr>
            </w:pPr>
            <w:r>
              <w:rPr>
                <w:rFonts w:eastAsia="Arial" w:cs="Arial"/>
                <w:b/>
                <w:bCs/>
                <w:color w:val="FFFFFF"/>
                <w:sz w:val="22"/>
                <w:szCs w:val="22"/>
              </w:rPr>
              <w:t>Notes</w:t>
            </w:r>
          </w:p>
        </w:tc>
      </w:tr>
      <w:tr>
        <w:trPr/>
        <w:tc>
          <w:tcPr>
            <w:tcW w:w="432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Total PDFs Analyzed</w:t>
            </w:r>
          </w:p>
        </w:tc>
        <w:tc>
          <w:tcPr>
            <w:tcW w:w="1799"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4,251</w:t>
            </w:r>
          </w:p>
        </w:tc>
        <w:tc>
          <w:tcPr>
            <w:tcW w:w="3961"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All bear valid MCRO cryptographic watermark</w:t>
            </w:r>
          </w:p>
        </w:tc>
      </w:tr>
      <w:tr>
        <w:trPr/>
        <w:tc>
          <w:tcPr>
            <w:tcW w:w="432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Aspose Cohort</w:t>
            </w:r>
          </w:p>
        </w:tc>
        <w:tc>
          <w:tcPr>
            <w:tcW w:w="1799"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27</w:t>
            </w:r>
          </w:p>
        </w:tc>
        <w:tc>
          <w:tcPr>
            <w:tcW w:w="3961"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Aspose.Words for .NET 14.2.0.0</w:t>
            </w:r>
          </w:p>
        </w:tc>
      </w:tr>
      <w:tr>
        <w:trPr/>
        <w:tc>
          <w:tcPr>
            <w:tcW w:w="432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Pre-Release Impossibilities</w:t>
            </w:r>
          </w:p>
        </w:tc>
        <w:tc>
          <w:tcPr>
            <w:tcW w:w="1799"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7</w:t>
            </w:r>
          </w:p>
        </w:tc>
        <w:tc>
          <w:tcPr>
            <w:tcW w:w="3961"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Creation dates before Feb 2014</w:t>
            </w:r>
          </w:p>
        </w:tc>
      </w:tr>
      <w:tr>
        <w:trPr/>
        <w:tc>
          <w:tcPr>
            <w:tcW w:w="432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Frozen Timestamp Clusters</w:t>
            </w:r>
          </w:p>
        </w:tc>
        <w:tc>
          <w:tcPr>
            <w:tcW w:w="1799"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3</w:t>
            </w:r>
          </w:p>
        </w:tc>
        <w:tc>
          <w:tcPr>
            <w:tcW w:w="3961"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17 + 4 + 2 documents</w:t>
            </w:r>
          </w:p>
        </w:tc>
      </w:tr>
      <w:tr>
        <w:trPr/>
        <w:tc>
          <w:tcPr>
            <w:tcW w:w="432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Notice of Intent to Prosecute (Aspose)</w:t>
            </w:r>
          </w:p>
        </w:tc>
        <w:tc>
          <w:tcPr>
            <w:tcW w:w="1799"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18</w:t>
            </w:r>
          </w:p>
        </w:tc>
        <w:tc>
          <w:tcPr>
            <w:tcW w:w="3961"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66.7% of Aspose cohort</w:t>
            </w:r>
          </w:p>
        </w:tc>
      </w:tr>
      <w:tr>
        <w:trPr/>
        <w:tc>
          <w:tcPr>
            <w:tcW w:w="432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Notice of Intent to Prosecute (corpus-wide)</w:t>
            </w:r>
          </w:p>
        </w:tc>
        <w:tc>
          <w:tcPr>
            <w:tcW w:w="1799"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48</w:t>
            </w:r>
          </w:p>
        </w:tc>
        <w:tc>
          <w:tcPr>
            <w:tcW w:w="3961"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Across 43 cases, 30 defendants</w:t>
            </w:r>
          </w:p>
        </w:tc>
      </w:tr>
      <w:tr>
        <w:trPr/>
        <w:tc>
          <w:tcPr>
            <w:tcW w:w="432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Cases with Incompetency Finding (CR)</w:t>
            </w:r>
          </w:p>
        </w:tc>
        <w:tc>
          <w:tcPr>
            <w:tcW w:w="1799"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131 of 217</w:t>
            </w:r>
          </w:p>
        </w:tc>
        <w:tc>
          <w:tcPr>
            <w:tcW w:w="3961"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60.4%</w:t>
            </w:r>
          </w:p>
        </w:tc>
      </w:tr>
      <w:tr>
        <w:trPr/>
        <w:tc>
          <w:tcPr>
            <w:tcW w:w="432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iText Pipeline Coverage</w:t>
            </w:r>
          </w:p>
        </w:tc>
        <w:tc>
          <w:tcPr>
            <w:tcW w:w="1799"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4,148 of 4,251</w:t>
            </w:r>
          </w:p>
        </w:tc>
        <w:tc>
          <w:tcPr>
            <w:tcW w:w="3961"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97.6%</w:t>
            </w:r>
          </w:p>
        </w:tc>
      </w:tr>
      <w:tr>
        <w:trPr/>
        <w:tc>
          <w:tcPr>
            <w:tcW w:w="432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Defendants Affected by Aspose NIP</w:t>
            </w:r>
          </w:p>
        </w:tc>
        <w:tc>
          <w:tcPr>
            <w:tcW w:w="1799"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15</w:t>
            </w:r>
          </w:p>
        </w:tc>
        <w:tc>
          <w:tcPr>
            <w:tcW w:w="3961"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With fabricated creation metadata</w:t>
            </w:r>
          </w:p>
        </w:tc>
      </w:tr>
    </w:tbl>
    <w:p>
      <w:pPr>
        <w:pStyle w:val="Normal"/>
        <w:spacing w:lineRule="exact" w:line="276" w:before="0" w:after="259"/>
        <w:rPr/>
      </w:pPr>
      <w:r>
        <w:rPr/>
      </w:r>
    </w:p>
    <w:tbl>
      <w:tblPr>
        <w:tblW w:w="10080" w:type="dxa"/>
        <w:jc w:val="left"/>
        <w:tblInd w:w="-6" w:type="dxa"/>
        <w:tblLayout w:type="fixed"/>
        <w:tblCellMar>
          <w:top w:w="60" w:type="dxa"/>
          <w:left w:w="120" w:type="dxa"/>
          <w:bottom w:w="60" w:type="dxa"/>
          <w:right w:w="120" w:type="dxa"/>
        </w:tblCellMar>
      </w:tblPr>
      <w:tblGrid>
        <w:gridCol w:w="866"/>
        <w:gridCol w:w="9213"/>
      </w:tblGrid>
      <w:tr>
        <w:trPr/>
        <w:tc>
          <w:tcPr>
            <w:tcW w:w="866" w:type="dxa"/>
            <w:tcBorders>
              <w:top w:val="single" w:sz="6" w:space="0" w:color="D94F30"/>
              <w:left w:val="single" w:sz="6" w:space="0" w:color="D94F30"/>
              <w:bottom w:val="single" w:sz="2" w:space="0" w:color="CCCCCC"/>
            </w:tcBorders>
            <w:shd w:fill="D94F30" w:val="clear"/>
          </w:tcPr>
          <w:p>
            <w:pPr>
              <w:pStyle w:val="Normal"/>
              <w:widowControl w:val="false"/>
              <w:rPr>
                <w:rFonts w:eastAsia="Arial" w:cs="Arial"/>
                <w:b/>
                <w:b/>
                <w:bCs/>
                <w:color w:val="FFFFFF"/>
                <w:sz w:val="22"/>
                <w:szCs w:val="22"/>
              </w:rPr>
            </w:pPr>
            <w:r>
              <w:rPr>
                <w:rFonts w:eastAsia="Arial" w:cs="Arial"/>
                <w:b/>
                <w:bCs/>
                <w:color w:val="FFFFFF"/>
                <w:sz w:val="22"/>
                <w:szCs w:val="22"/>
              </w:rPr>
            </w:r>
          </w:p>
        </w:tc>
        <w:tc>
          <w:tcPr>
            <w:tcW w:w="9213" w:type="dxa"/>
            <w:tcBorders>
              <w:top w:val="single" w:sz="6" w:space="0" w:color="D94F30"/>
              <w:left w:val="single" w:sz="6" w:space="0" w:color="D94F30"/>
              <w:bottom w:val="single" w:sz="2" w:space="0" w:color="CCCCCC"/>
              <w:right w:val="single" w:sz="6" w:space="0" w:color="D94F30"/>
            </w:tcBorders>
            <w:shd w:fill="D94F30" w:val="clear"/>
          </w:tcPr>
          <w:p>
            <w:pPr>
              <w:pStyle w:val="Normal"/>
              <w:widowControl w:val="false"/>
              <w:ind w:left="2880" w:hanging="0"/>
              <w:jc w:val="left"/>
              <w:rPr/>
            </w:pPr>
            <w:r>
              <w:rPr>
                <w:rFonts w:eastAsia="Arial" w:cs="Arial"/>
                <w:b/>
                <w:bCs/>
                <w:color w:val="FFFFFF"/>
                <w:sz w:val="22"/>
                <w:szCs w:val="22"/>
              </w:rPr>
              <w:t>KEY METRICS</w:t>
            </w:r>
          </w:p>
        </w:tc>
      </w:tr>
      <w:tr>
        <w:trPr>
          <w:trHeight w:val="403" w:hRule="exact"/>
        </w:trPr>
        <w:tc>
          <w:tcPr>
            <w:tcW w:w="866" w:type="dxa"/>
            <w:tcBorders>
              <w:top w:val="single" w:sz="2" w:space="0" w:color="CCCCCC"/>
              <w:left w:val="single" w:sz="6" w:space="0" w:color="D94F30"/>
              <w:bottom w:val="single" w:sz="2" w:space="0" w:color="CCCCCC"/>
            </w:tcBorders>
            <w:shd w:fill="FADBD8" w:val="clear"/>
            <w:tcMar>
              <w:top w:w="40" w:type="dxa"/>
              <w:bottom w:w="40" w:type="dxa"/>
            </w:tcMar>
            <w:vAlign w:val="center"/>
          </w:tcPr>
          <w:p>
            <w:pPr>
              <w:pStyle w:val="Normal"/>
              <w:widowControl w:val="false"/>
              <w:jc w:val="right"/>
              <w:rPr>
                <w:sz w:val="22"/>
                <w:szCs w:val="22"/>
              </w:rPr>
            </w:pPr>
            <w:r>
              <w:rPr>
                <w:rFonts w:eastAsia="Arial" w:cs="Arial"/>
                <w:b/>
                <w:bCs/>
                <w:color w:val="D94F30"/>
                <w:sz w:val="22"/>
                <w:szCs w:val="22"/>
              </w:rPr>
              <w:t>7</w:t>
            </w:r>
          </w:p>
        </w:tc>
        <w:tc>
          <w:tcPr>
            <w:tcW w:w="9213" w:type="dxa"/>
            <w:tcBorders>
              <w:top w:val="single" w:sz="2" w:space="0" w:color="CCCCCC"/>
              <w:left w:val="single" w:sz="6" w:space="0" w:color="D94F30"/>
              <w:bottom w:val="single" w:sz="2" w:space="0" w:color="CCCCCC"/>
              <w:right w:val="single" w:sz="6" w:space="0" w:color="D94F30"/>
            </w:tcBorders>
            <w:shd w:fill="FADBD8" w:val="clear"/>
            <w:tcMar>
              <w:top w:w="40" w:type="dxa"/>
              <w:bottom w:w="40" w:type="dxa"/>
            </w:tcMar>
            <w:vAlign w:val="center"/>
          </w:tcPr>
          <w:p>
            <w:pPr>
              <w:pStyle w:val="Normal"/>
              <w:widowControl w:val="false"/>
              <w:rPr>
                <w:sz w:val="22"/>
                <w:szCs w:val="22"/>
              </w:rPr>
            </w:pPr>
            <w:r>
              <w:rPr>
                <w:rFonts w:eastAsia="Arial" w:cs="Arial"/>
                <w:sz w:val="22"/>
                <w:szCs w:val="22"/>
              </w:rPr>
              <w:t>documents created by software that did not yet exist</w:t>
            </w:r>
          </w:p>
        </w:tc>
      </w:tr>
      <w:tr>
        <w:trPr>
          <w:trHeight w:val="403" w:hRule="exact"/>
        </w:trPr>
        <w:tc>
          <w:tcPr>
            <w:tcW w:w="866" w:type="dxa"/>
            <w:tcBorders>
              <w:top w:val="single" w:sz="2" w:space="0" w:color="CCCCCC"/>
              <w:left w:val="single" w:sz="6" w:space="0" w:color="D94F30"/>
              <w:bottom w:val="single" w:sz="2" w:space="0" w:color="CCCCCC"/>
            </w:tcBorders>
            <w:shd w:fill="FFFFFF" w:val="clear"/>
            <w:tcMar>
              <w:top w:w="40" w:type="dxa"/>
              <w:bottom w:w="40" w:type="dxa"/>
            </w:tcMar>
            <w:vAlign w:val="center"/>
          </w:tcPr>
          <w:p>
            <w:pPr>
              <w:pStyle w:val="Normal"/>
              <w:widowControl w:val="false"/>
              <w:jc w:val="right"/>
              <w:rPr>
                <w:sz w:val="22"/>
                <w:szCs w:val="22"/>
              </w:rPr>
            </w:pPr>
            <w:r>
              <w:rPr>
                <w:rFonts w:eastAsia="Arial" w:cs="Arial"/>
                <w:b/>
                <w:bCs/>
                <w:color w:val="D94F30"/>
                <w:sz w:val="22"/>
                <w:szCs w:val="22"/>
              </w:rPr>
              <w:t>17</w:t>
            </w:r>
          </w:p>
        </w:tc>
        <w:tc>
          <w:tcPr>
            <w:tcW w:w="9213" w:type="dxa"/>
            <w:tcBorders>
              <w:top w:val="single" w:sz="2" w:space="0" w:color="CCCCCC"/>
              <w:left w:val="single" w:sz="6" w:space="0" w:color="D94F30"/>
              <w:bottom w:val="single" w:sz="2" w:space="0" w:color="CCCCCC"/>
              <w:right w:val="single" w:sz="6" w:space="0" w:color="D94F30"/>
            </w:tcBorders>
            <w:shd w:fill="FFFFFF" w:val="clear"/>
            <w:tcMar>
              <w:top w:w="40" w:type="dxa"/>
              <w:bottom w:w="40" w:type="dxa"/>
            </w:tcMar>
            <w:vAlign w:val="center"/>
          </w:tcPr>
          <w:p>
            <w:pPr>
              <w:pStyle w:val="Normal"/>
              <w:widowControl w:val="false"/>
              <w:rPr>
                <w:sz w:val="22"/>
                <w:szCs w:val="22"/>
              </w:rPr>
            </w:pPr>
            <w:r>
              <w:rPr>
                <w:rFonts w:eastAsia="Arial" w:cs="Arial"/>
                <w:sz w:val="22"/>
                <w:szCs w:val="22"/>
              </w:rPr>
              <w:t>“</w:t>
            </w:r>
            <w:r>
              <w:rPr>
                <w:rFonts w:eastAsia="Arial" w:cs="Arial"/>
                <w:sz w:val="22"/>
                <w:szCs w:val="22"/>
              </w:rPr>
              <w:t>Notice of Intent to Prosecute” documents sharing one fabricated timestamp</w:t>
            </w:r>
          </w:p>
        </w:tc>
      </w:tr>
      <w:tr>
        <w:trPr>
          <w:trHeight w:val="403" w:hRule="exact"/>
        </w:trPr>
        <w:tc>
          <w:tcPr>
            <w:tcW w:w="866" w:type="dxa"/>
            <w:tcBorders>
              <w:top w:val="single" w:sz="2" w:space="0" w:color="CCCCCC"/>
              <w:left w:val="single" w:sz="6" w:space="0" w:color="D94F30"/>
              <w:bottom w:val="single" w:sz="2" w:space="0" w:color="CCCCCC"/>
            </w:tcBorders>
            <w:shd w:fill="FADBD8" w:val="clear"/>
            <w:tcMar>
              <w:top w:w="40" w:type="dxa"/>
              <w:bottom w:w="40" w:type="dxa"/>
            </w:tcMar>
            <w:vAlign w:val="center"/>
          </w:tcPr>
          <w:p>
            <w:pPr>
              <w:pStyle w:val="Normal"/>
              <w:widowControl w:val="false"/>
              <w:jc w:val="right"/>
              <w:rPr>
                <w:sz w:val="22"/>
                <w:szCs w:val="22"/>
              </w:rPr>
            </w:pPr>
            <w:r>
              <w:rPr>
                <w:rFonts w:eastAsia="Arial" w:cs="Arial"/>
                <w:b/>
                <w:bCs/>
                <w:color w:val="D94F30"/>
                <w:sz w:val="22"/>
                <w:szCs w:val="22"/>
              </w:rPr>
              <w:t>0</w:t>
            </w:r>
          </w:p>
        </w:tc>
        <w:tc>
          <w:tcPr>
            <w:tcW w:w="9213" w:type="dxa"/>
            <w:tcBorders>
              <w:top w:val="single" w:sz="2" w:space="0" w:color="CCCCCC"/>
              <w:left w:val="single" w:sz="6" w:space="0" w:color="D94F30"/>
              <w:bottom w:val="single" w:sz="2" w:space="0" w:color="CCCCCC"/>
              <w:right w:val="single" w:sz="6" w:space="0" w:color="D94F30"/>
            </w:tcBorders>
            <w:shd w:fill="FADBD8" w:val="clear"/>
            <w:tcMar>
              <w:top w:w="40" w:type="dxa"/>
              <w:bottom w:w="40" w:type="dxa"/>
            </w:tcMar>
            <w:vAlign w:val="center"/>
          </w:tcPr>
          <w:p>
            <w:pPr>
              <w:pStyle w:val="Normal"/>
              <w:widowControl w:val="false"/>
              <w:rPr>
                <w:sz w:val="22"/>
                <w:szCs w:val="22"/>
              </w:rPr>
            </w:pPr>
            <w:r>
              <w:rPr>
                <w:rFonts w:eastAsia="Arial" w:cs="Arial"/>
                <w:sz w:val="22"/>
                <w:szCs w:val="22"/>
              </w:rPr>
              <w:t>times the word “rights” appears in the 23-page competency statute</w:t>
            </w:r>
          </w:p>
        </w:tc>
      </w:tr>
      <w:tr>
        <w:trPr>
          <w:trHeight w:val="403" w:hRule="exact"/>
        </w:trPr>
        <w:tc>
          <w:tcPr>
            <w:tcW w:w="866" w:type="dxa"/>
            <w:tcBorders>
              <w:top w:val="single" w:sz="2" w:space="0" w:color="CCCCCC"/>
              <w:left w:val="single" w:sz="6" w:space="0" w:color="D94F30"/>
              <w:bottom w:val="single" w:sz="2" w:space="0" w:color="CCCCCC"/>
            </w:tcBorders>
            <w:shd w:fill="FFFFFF" w:val="clear"/>
            <w:tcMar>
              <w:top w:w="40" w:type="dxa"/>
              <w:bottom w:w="40" w:type="dxa"/>
            </w:tcMar>
            <w:vAlign w:val="center"/>
          </w:tcPr>
          <w:p>
            <w:pPr>
              <w:pStyle w:val="Normal"/>
              <w:widowControl w:val="false"/>
              <w:jc w:val="right"/>
              <w:rPr>
                <w:sz w:val="22"/>
                <w:szCs w:val="22"/>
              </w:rPr>
            </w:pPr>
            <w:r>
              <w:rPr>
                <w:rFonts w:eastAsia="Arial" w:cs="Arial"/>
                <w:b/>
                <w:bCs/>
                <w:color w:val="D94F30"/>
                <w:sz w:val="22"/>
                <w:szCs w:val="22"/>
              </w:rPr>
              <w:t>4,404</w:t>
            </w:r>
          </w:p>
        </w:tc>
        <w:tc>
          <w:tcPr>
            <w:tcW w:w="9213" w:type="dxa"/>
            <w:tcBorders>
              <w:top w:val="single" w:sz="2" w:space="0" w:color="CCCCCC"/>
              <w:left w:val="single" w:sz="6" w:space="0" w:color="D94F30"/>
              <w:bottom w:val="single" w:sz="2" w:space="0" w:color="CCCCCC"/>
              <w:right w:val="single" w:sz="6" w:space="0" w:color="D94F30"/>
            </w:tcBorders>
            <w:shd w:fill="FFFFFF" w:val="clear"/>
            <w:tcMar>
              <w:top w:w="40" w:type="dxa"/>
              <w:bottom w:w="40" w:type="dxa"/>
            </w:tcMar>
            <w:vAlign w:val="center"/>
          </w:tcPr>
          <w:p>
            <w:pPr>
              <w:pStyle w:val="Normal"/>
              <w:widowControl w:val="false"/>
              <w:rPr>
                <w:sz w:val="22"/>
                <w:szCs w:val="22"/>
              </w:rPr>
            </w:pPr>
            <w:r>
              <w:rPr>
                <w:rFonts w:eastAsia="Arial" w:cs="Arial"/>
                <w:sz w:val="22"/>
                <w:szCs w:val="22"/>
              </w:rPr>
              <w:t>days (12.1 years): longest gap between fabricated creation date and filing date</w:t>
            </w:r>
          </w:p>
        </w:tc>
      </w:tr>
      <w:tr>
        <w:trPr>
          <w:trHeight w:val="403" w:hRule="exact"/>
        </w:trPr>
        <w:tc>
          <w:tcPr>
            <w:tcW w:w="866" w:type="dxa"/>
            <w:tcBorders>
              <w:top w:val="single" w:sz="2" w:space="0" w:color="CCCCCC"/>
              <w:left w:val="single" w:sz="6" w:space="0" w:color="D94F30"/>
              <w:bottom w:val="single" w:sz="2" w:space="0" w:color="CCCCCC"/>
            </w:tcBorders>
            <w:shd w:fill="FADBD8" w:val="clear"/>
            <w:tcMar>
              <w:top w:w="40" w:type="dxa"/>
              <w:bottom w:w="40" w:type="dxa"/>
            </w:tcMar>
            <w:vAlign w:val="center"/>
          </w:tcPr>
          <w:p>
            <w:pPr>
              <w:pStyle w:val="Normal"/>
              <w:widowControl w:val="false"/>
              <w:jc w:val="right"/>
              <w:rPr>
                <w:sz w:val="22"/>
                <w:szCs w:val="22"/>
              </w:rPr>
            </w:pPr>
            <w:r>
              <w:rPr>
                <w:rFonts w:eastAsia="Arial" w:cs="Arial"/>
                <w:b/>
                <w:bCs/>
                <w:color w:val="D94F30"/>
                <w:sz w:val="22"/>
                <w:szCs w:val="22"/>
              </w:rPr>
              <w:t>1,056</w:t>
            </w:r>
          </w:p>
        </w:tc>
        <w:tc>
          <w:tcPr>
            <w:tcW w:w="9213" w:type="dxa"/>
            <w:tcBorders>
              <w:top w:val="single" w:sz="2" w:space="0" w:color="CCCCCC"/>
              <w:left w:val="single" w:sz="6" w:space="0" w:color="D94F30"/>
              <w:bottom w:val="single" w:sz="2" w:space="0" w:color="CCCCCC"/>
              <w:right w:val="single" w:sz="6" w:space="0" w:color="D94F30"/>
            </w:tcBorders>
            <w:shd w:fill="FADBD8" w:val="clear"/>
            <w:tcMar>
              <w:top w:w="40" w:type="dxa"/>
              <w:bottom w:w="40" w:type="dxa"/>
            </w:tcMar>
            <w:vAlign w:val="center"/>
          </w:tcPr>
          <w:p>
            <w:pPr>
              <w:pStyle w:val="Normal"/>
              <w:widowControl w:val="false"/>
              <w:rPr>
                <w:sz w:val="22"/>
                <w:szCs w:val="22"/>
              </w:rPr>
            </w:pPr>
            <w:r>
              <w:rPr>
                <w:rFonts w:eastAsia="Arial" w:cs="Arial"/>
                <w:sz w:val="22"/>
                <w:szCs w:val="22"/>
              </w:rPr>
              <w:t>days (2.9 years): filing span of 17 frozen-timestamp NIP documents</w:t>
            </w:r>
          </w:p>
        </w:tc>
      </w:tr>
      <w:tr>
        <w:trPr>
          <w:trHeight w:val="403" w:hRule="exact"/>
        </w:trPr>
        <w:tc>
          <w:tcPr>
            <w:tcW w:w="866" w:type="dxa"/>
            <w:tcBorders>
              <w:top w:val="single" w:sz="2" w:space="0" w:color="CCCCCC"/>
              <w:left w:val="single" w:sz="6" w:space="0" w:color="D94F30"/>
              <w:bottom w:val="single" w:sz="2" w:space="0" w:color="CCCCCC"/>
            </w:tcBorders>
            <w:shd w:fill="FFFFFF" w:val="clear"/>
            <w:tcMar>
              <w:top w:w="40" w:type="dxa"/>
              <w:bottom w:w="40" w:type="dxa"/>
            </w:tcMar>
            <w:vAlign w:val="center"/>
          </w:tcPr>
          <w:p>
            <w:pPr>
              <w:pStyle w:val="Normal"/>
              <w:widowControl w:val="false"/>
              <w:jc w:val="right"/>
              <w:rPr>
                <w:sz w:val="22"/>
                <w:szCs w:val="22"/>
              </w:rPr>
            </w:pPr>
            <w:r>
              <w:rPr>
                <w:rFonts w:eastAsia="Arial" w:cs="Arial"/>
                <w:b/>
                <w:bCs/>
                <w:color w:val="D94F30"/>
                <w:sz w:val="22"/>
                <w:szCs w:val="22"/>
              </w:rPr>
              <w:t>100%</w:t>
            </w:r>
          </w:p>
        </w:tc>
        <w:tc>
          <w:tcPr>
            <w:tcW w:w="9213" w:type="dxa"/>
            <w:tcBorders>
              <w:top w:val="single" w:sz="2" w:space="0" w:color="CCCCCC"/>
              <w:left w:val="single" w:sz="6" w:space="0" w:color="D94F30"/>
              <w:bottom w:val="single" w:sz="2" w:space="0" w:color="CCCCCC"/>
              <w:right w:val="single" w:sz="6" w:space="0" w:color="D94F30"/>
            </w:tcBorders>
            <w:shd w:fill="FFFFFF" w:val="clear"/>
            <w:tcMar>
              <w:top w:w="40" w:type="dxa"/>
              <w:bottom w:w="40" w:type="dxa"/>
            </w:tcMar>
            <w:vAlign w:val="center"/>
          </w:tcPr>
          <w:p>
            <w:pPr>
              <w:pStyle w:val="Normal"/>
              <w:widowControl w:val="false"/>
              <w:rPr>
                <w:sz w:val="22"/>
                <w:szCs w:val="22"/>
              </w:rPr>
            </w:pPr>
            <w:r>
              <w:rPr>
                <w:rFonts w:eastAsia="Arial" w:cs="Arial"/>
                <w:sz w:val="22"/>
                <w:szCs w:val="22"/>
              </w:rPr>
              <w:t>of Aspose defendants have Rule 20 competency events</w:t>
            </w:r>
          </w:p>
        </w:tc>
      </w:tr>
      <w:tr>
        <w:trPr>
          <w:trHeight w:val="403" w:hRule="exact"/>
        </w:trPr>
        <w:tc>
          <w:tcPr>
            <w:tcW w:w="866" w:type="dxa"/>
            <w:tcBorders>
              <w:top w:val="single" w:sz="2" w:space="0" w:color="CCCCCC"/>
              <w:left w:val="single" w:sz="6" w:space="0" w:color="D94F30"/>
              <w:bottom w:val="single" w:sz="2" w:space="0" w:color="CCCCCC"/>
            </w:tcBorders>
            <w:shd w:fill="FADBD8" w:val="clear"/>
            <w:tcMar>
              <w:top w:w="40" w:type="dxa"/>
              <w:bottom w:w="40" w:type="dxa"/>
            </w:tcMar>
            <w:vAlign w:val="center"/>
          </w:tcPr>
          <w:p>
            <w:pPr>
              <w:pStyle w:val="Normal"/>
              <w:widowControl w:val="false"/>
              <w:jc w:val="right"/>
              <w:rPr>
                <w:sz w:val="22"/>
                <w:szCs w:val="22"/>
              </w:rPr>
            </w:pPr>
            <w:r>
              <w:rPr>
                <w:rFonts w:eastAsia="Arial" w:cs="Arial"/>
                <w:b/>
                <w:bCs/>
                <w:color w:val="D94F30"/>
                <w:sz w:val="22"/>
                <w:szCs w:val="22"/>
              </w:rPr>
              <w:t>38+</w:t>
            </w:r>
          </w:p>
        </w:tc>
        <w:tc>
          <w:tcPr>
            <w:tcW w:w="9213" w:type="dxa"/>
            <w:tcBorders>
              <w:top w:val="single" w:sz="2" w:space="0" w:color="CCCCCC"/>
              <w:left w:val="single" w:sz="6" w:space="0" w:color="D94F30"/>
              <w:bottom w:val="single" w:sz="2" w:space="0" w:color="CCCCCC"/>
              <w:right w:val="single" w:sz="6" w:space="0" w:color="D94F30"/>
            </w:tcBorders>
            <w:shd w:fill="FADBD8" w:val="clear"/>
            <w:tcMar>
              <w:top w:w="40" w:type="dxa"/>
              <w:bottom w:w="40" w:type="dxa"/>
            </w:tcMar>
            <w:vAlign w:val="center"/>
          </w:tcPr>
          <w:p>
            <w:pPr>
              <w:pStyle w:val="Normal"/>
              <w:widowControl w:val="false"/>
              <w:rPr>
                <w:sz w:val="22"/>
                <w:szCs w:val="22"/>
              </w:rPr>
            </w:pPr>
            <w:r>
              <w:rPr>
                <w:rFonts w:eastAsia="Arial" w:cs="Arial"/>
                <w:sz w:val="22"/>
                <w:szCs w:val="22"/>
              </w:rPr>
              <w:t>months: Guertin’s ongoing Rule 20 proceedings</w:t>
            </w:r>
          </w:p>
        </w:tc>
      </w:tr>
      <w:tr>
        <w:trPr>
          <w:trHeight w:val="403" w:hRule="exact"/>
        </w:trPr>
        <w:tc>
          <w:tcPr>
            <w:tcW w:w="866" w:type="dxa"/>
            <w:tcBorders>
              <w:top w:val="single" w:sz="2" w:space="0" w:color="CCCCCC"/>
              <w:left w:val="single" w:sz="6" w:space="0" w:color="D94F30"/>
              <w:bottom w:val="single" w:sz="2" w:space="0" w:color="CCCCCC"/>
            </w:tcBorders>
            <w:shd w:fill="FFFFFF" w:val="clear"/>
            <w:tcMar>
              <w:top w:w="40" w:type="dxa"/>
              <w:bottom w:w="40" w:type="dxa"/>
            </w:tcMar>
            <w:vAlign w:val="center"/>
          </w:tcPr>
          <w:p>
            <w:pPr>
              <w:pStyle w:val="Normal"/>
              <w:widowControl w:val="false"/>
              <w:jc w:val="right"/>
              <w:rPr>
                <w:sz w:val="22"/>
                <w:szCs w:val="22"/>
              </w:rPr>
            </w:pPr>
            <w:r>
              <w:rPr>
                <w:rFonts w:eastAsia="Arial" w:cs="Arial"/>
                <w:b/>
                <w:bCs/>
                <w:color w:val="D94F30"/>
                <w:sz w:val="22"/>
                <w:szCs w:val="22"/>
              </w:rPr>
              <w:t>4,251</w:t>
            </w:r>
          </w:p>
        </w:tc>
        <w:tc>
          <w:tcPr>
            <w:tcW w:w="9213" w:type="dxa"/>
            <w:tcBorders>
              <w:top w:val="single" w:sz="2" w:space="0" w:color="CCCCCC"/>
              <w:left w:val="single" w:sz="6" w:space="0" w:color="D94F30"/>
              <w:bottom w:val="single" w:sz="2" w:space="0" w:color="CCCCCC"/>
              <w:right w:val="single" w:sz="6" w:space="0" w:color="D94F30"/>
            </w:tcBorders>
            <w:shd w:fill="FFFFFF" w:val="clear"/>
            <w:tcMar>
              <w:top w:w="40" w:type="dxa"/>
              <w:bottom w:w="40" w:type="dxa"/>
            </w:tcMar>
            <w:vAlign w:val="center"/>
          </w:tcPr>
          <w:p>
            <w:pPr>
              <w:pStyle w:val="Normal"/>
              <w:widowControl w:val="false"/>
              <w:rPr>
                <w:sz w:val="22"/>
                <w:szCs w:val="22"/>
              </w:rPr>
            </w:pPr>
            <w:r>
              <w:rPr>
                <w:rFonts w:eastAsia="Arial" w:cs="Arial"/>
                <w:sz w:val="22"/>
                <w:szCs w:val="22"/>
              </w:rPr>
              <w:t>documents in database built by person declared incompetent</w:t>
            </w:r>
          </w:p>
        </w:tc>
      </w:tr>
    </w:tbl>
    <w:p>
      <w:pPr>
        <w:pStyle w:val="Heading2"/>
        <w:spacing w:lineRule="exact" w:line="276" w:before="86" w:after="115"/>
        <w:rPr>
          <w:color w:val="1F3864"/>
          <w:sz w:val="24"/>
          <w:szCs w:val="24"/>
        </w:rPr>
      </w:pPr>
      <w:r>
        <w:br w:type="page"/>
      </w:r>
      <w:r>
        <w:rPr>
          <w:rFonts w:eastAsia="Arial" w:cs="Arial" w:ascii="Arial" w:hAnsi="Arial"/>
          <w:b/>
          <w:bCs/>
          <w:i w:val="false"/>
          <w:iCs w:val="false"/>
          <w:color w:val="1F3864"/>
          <w:sz w:val="24"/>
          <w:szCs w:val="24"/>
        </w:rPr>
        <w:t>TECHNICAL BACKGROUND</w:t>
      </w:r>
    </w:p>
    <w:p>
      <w:pPr>
        <w:pStyle w:val="Heading3"/>
        <w:spacing w:lineRule="exact" w:line="276" w:before="0" w:after="115"/>
        <w:rPr>
          <w:sz w:val="24"/>
          <w:szCs w:val="24"/>
        </w:rPr>
      </w:pPr>
      <w:r>
        <w:rPr>
          <w:rFonts w:eastAsia="Arial" w:cs="Arial" w:ascii="Arial" w:hAnsi="Arial"/>
          <w:b/>
          <w:bCs/>
          <w:i w:val="false"/>
          <w:iCs w:val="false"/>
          <w:sz w:val="24"/>
          <w:szCs w:val="24"/>
        </w:rPr>
        <w:t>What Is Aspose.Words?</w:t>
      </w:r>
    </w:p>
    <w:p>
      <w:pPr>
        <w:pStyle w:val="Normal"/>
        <w:spacing w:lineRule="auto" w:line="276" w:before="0" w:after="120"/>
        <w:jc w:val="both"/>
        <w:rPr>
          <w:sz w:val="22"/>
          <w:szCs w:val="22"/>
        </w:rPr>
      </w:pPr>
      <w:r>
        <w:rPr>
          <w:rFonts w:eastAsia="Arial" w:cs="Arial"/>
          <w:b w:val="false"/>
          <w:bCs w:val="false"/>
          <w:i w:val="false"/>
          <w:iCs w:val="false"/>
          <w:sz w:val="22"/>
          <w:szCs w:val="22"/>
        </w:rPr>
        <w:t>Aspose.Words for .NET is a commercial software library published by Aspose Pty Ltd. It enables developers to create, modify, and convert Microsoft Word documents programmatically — without requiring Microsoft Office. It is used in enterprise document automation, template-based generation, and batch processing.</w:t>
      </w:r>
    </w:p>
    <w:p>
      <w:pPr>
        <w:pStyle w:val="Normal"/>
        <w:spacing w:lineRule="auto" w:line="276" w:before="0" w:after="120"/>
        <w:jc w:val="both"/>
        <w:rPr>
          <w:sz w:val="22"/>
          <w:szCs w:val="22"/>
        </w:rPr>
      </w:pPr>
      <w:r>
        <w:rPr>
          <w:rFonts w:eastAsia="Arial" w:cs="Arial"/>
          <w:b w:val="false"/>
          <w:bCs w:val="false"/>
          <w:i w:val="false"/>
          <w:iCs w:val="false"/>
          <w:sz w:val="22"/>
          <w:szCs w:val="22"/>
        </w:rPr>
        <w:t>When Aspose.Words creates or modifies a document that is subsequently converted to PDF, it embeds its identity in the PDF’s XMP metadata “producer” field. All 27 documents in this cohort carry the producer string:</w:t>
      </w:r>
    </w:p>
    <w:p>
      <w:pPr>
        <w:pStyle w:val="Normal"/>
        <w:spacing w:lineRule="exact" w:line="276" w:before="0" w:after="120"/>
        <w:ind w:left="720" w:hanging="0"/>
        <w:rPr/>
      </w:pPr>
      <w:r>
        <w:rPr>
          <w:rFonts w:eastAsia="Arial" w:cs="Arial"/>
          <w:b/>
          <w:bCs/>
          <w:i w:val="false"/>
          <w:iCs w:val="false"/>
          <w:sz w:val="18"/>
          <w:szCs w:val="18"/>
        </w:rPr>
        <w:t>Aspose.Words for .NET 14.2.0.0; modified using iText® 7.1.16 ©2000-2021 iText Group NV (Minnesota Judicial Branch; licensed version)</w:t>
      </w:r>
    </w:p>
    <w:p>
      <w:pPr>
        <w:pStyle w:val="Heading3"/>
        <w:spacing w:lineRule="exact" w:line="276" w:before="259" w:after="115"/>
        <w:rPr>
          <w:sz w:val="24"/>
          <w:szCs w:val="24"/>
        </w:rPr>
      </w:pPr>
      <w:r>
        <w:rPr>
          <w:rFonts w:eastAsia="Arial" w:cs="Arial" w:ascii="Arial" w:hAnsi="Arial"/>
          <w:b/>
          <w:bCs/>
          <w:i w:val="false"/>
          <w:iCs w:val="false"/>
          <w:sz w:val="24"/>
          <w:szCs w:val="24"/>
        </w:rPr>
        <w:t>The Version Numbering System</w:t>
      </w:r>
    </w:p>
    <w:p>
      <w:pPr>
        <w:pStyle w:val="Normal"/>
        <w:spacing w:lineRule="auto" w:line="276" w:before="0" w:after="120"/>
        <w:jc w:val="both"/>
        <w:rPr>
          <w:sz w:val="22"/>
          <w:szCs w:val="22"/>
        </w:rPr>
      </w:pPr>
      <w:r>
        <w:rPr>
          <w:rFonts w:eastAsia="Arial" w:cs="Arial"/>
          <w:b w:val="false"/>
          <w:bCs w:val="false"/>
          <w:i w:val="false"/>
          <w:iCs w:val="false"/>
          <w:sz w:val="22"/>
          <w:szCs w:val="22"/>
        </w:rPr>
        <w:t>Aspose uses a YY.M (year.month) version numbering scheme. Version 14.2 corresponds to February 2014. This version was released in February 2014. Any document that carries this producer string was necessarily created on or after February 2014.</w:t>
      </w:r>
    </w:p>
    <w:p>
      <w:pPr>
        <w:pStyle w:val="Normal"/>
        <w:spacing w:lineRule="auto" w:line="276" w:before="0" w:after="120"/>
        <w:jc w:val="both"/>
        <w:rPr>
          <w:sz w:val="22"/>
          <w:szCs w:val="22"/>
        </w:rPr>
      </w:pPr>
      <w:r>
        <w:rPr>
          <w:rFonts w:eastAsia="Arial" w:cs="Arial"/>
          <w:b/>
          <w:bCs/>
          <w:sz w:val="22"/>
          <w:szCs w:val="22"/>
        </w:rPr>
        <w:t xml:space="preserve">The logical impossibility: </w:t>
      </w:r>
      <w:r>
        <w:rPr>
          <w:rFonts w:eastAsia="Arial" w:cs="Arial"/>
          <w:sz w:val="22"/>
          <w:szCs w:val="22"/>
        </w:rPr>
        <w:t>If a PDF’s XMP creation date is before February 2014, but its producer string identifies Aspose.Words 14.2.0.0 as the creating software, then the creation date is fabricated. The software did not exist at the claimed creation time. A document cannot be created by software that does not yet exist.</w:t>
      </w:r>
    </w:p>
    <w:p>
      <w:pPr>
        <w:pStyle w:val="Heading3"/>
        <w:spacing w:lineRule="exact" w:line="276" w:before="202" w:after="86"/>
        <w:rPr>
          <w:sz w:val="24"/>
          <w:szCs w:val="24"/>
        </w:rPr>
      </w:pPr>
      <w:r>
        <w:rPr>
          <w:rFonts w:eastAsia="Arial" w:cs="Arial" w:ascii="Arial" w:hAnsi="Arial"/>
          <w:b/>
          <w:bCs/>
          <w:i w:val="false"/>
          <w:iCs w:val="false"/>
          <w:sz w:val="24"/>
          <w:szCs w:val="24"/>
        </w:rPr>
        <w:t>What Is XMP Metadata?</w:t>
      </w:r>
    </w:p>
    <w:p>
      <w:pPr>
        <w:pStyle w:val="Normal"/>
        <w:spacing w:lineRule="auto" w:line="276" w:before="0" w:after="0"/>
        <w:jc w:val="both"/>
        <w:rPr>
          <w:sz w:val="22"/>
          <w:szCs w:val="22"/>
        </w:rPr>
      </w:pPr>
      <w:r>
        <w:rPr>
          <w:rFonts w:eastAsia="Arial" w:cs="Arial"/>
          <w:b w:val="false"/>
          <w:bCs w:val="false"/>
          <w:i w:val="false"/>
          <w:iCs w:val="false"/>
          <w:sz w:val="22"/>
          <w:szCs w:val="22"/>
        </w:rPr>
        <w:t>XMP (Extensible Metadata Platform) is an ISO standard (ISO 16684) for embedding metadata within digital files. In PDFs, XMP metadata includes creation date, modification date, creator tool, and producer — fields set automatically by the software that creates or processes the document. These fields are embedded in the file’s binary structure and persist through standard file operations.</w:t>
      </w:r>
    </w:p>
    <w:p>
      <w:pPr>
        <w:pStyle w:val="Heading3"/>
        <w:spacing w:lineRule="exact" w:line="276" w:before="202" w:after="86"/>
        <w:rPr>
          <w:sz w:val="24"/>
          <w:szCs w:val="24"/>
        </w:rPr>
      </w:pPr>
      <w:r>
        <w:rPr>
          <w:rFonts w:eastAsia="Arial" w:cs="Arial" w:ascii="Arial" w:hAnsi="Arial"/>
          <w:b/>
          <w:bCs/>
          <w:i w:val="false"/>
          <w:iCs w:val="false"/>
          <w:sz w:val="24"/>
          <w:szCs w:val="24"/>
        </w:rPr>
        <w:t>The iText Pipeline Stamp</w:t>
      </w:r>
    </w:p>
    <w:p>
      <w:pPr>
        <w:pStyle w:val="Normal"/>
        <w:spacing w:lineRule="auto" w:line="276" w:before="0" w:after="259"/>
        <w:jc w:val="both"/>
        <w:rPr>
          <w:sz w:val="22"/>
          <w:szCs w:val="22"/>
        </w:rPr>
      </w:pPr>
      <w:r>
        <w:rPr>
          <w:rFonts w:eastAsia="Arial" w:cs="Arial"/>
          <w:b w:val="false"/>
          <w:bCs w:val="false"/>
          <w:i w:val="false"/>
          <w:iCs w:val="false"/>
          <w:sz w:val="22"/>
          <w:szCs w:val="22"/>
        </w:rPr>
        <w:t>All 27 Aspose documents also carry a secondary producer identifier: “itext® 7.1.16 ©2000-2021 iText Group NV (Minnesota Judicial Branch; licensed version).” This indicates the document passed through the court’s official e-filing pipeline, which uses iText 7.1.16 to process and watermark documents. This pipeline stamps 97.6% of the 4,251-document corpus (4,148 documents). The presence of this stamp on the Aspose documents confirms they were not rogue uploads — they entered the official system.</w:t>
      </w:r>
    </w:p>
    <w:p>
      <w:pPr>
        <w:pStyle w:val="Heading2"/>
        <w:spacing w:before="144" w:after="158"/>
        <w:rPr>
          <w:color w:val="1F3864"/>
          <w:sz w:val="24"/>
          <w:szCs w:val="24"/>
        </w:rPr>
      </w:pPr>
      <w:r>
        <w:rPr>
          <w:color w:val="1F3864"/>
          <w:sz w:val="24"/>
          <w:szCs w:val="24"/>
        </w:rPr>
        <w:t>STATUTORY BACKGROUND</w:t>
      </w:r>
    </w:p>
    <w:p>
      <w:pPr>
        <w:pStyle w:val="Normal"/>
        <w:spacing w:lineRule="exact" w:line="276" w:before="0" w:after="120"/>
        <w:jc w:val="both"/>
        <w:rPr/>
      </w:pPr>
      <w:r>
        <w:rPr>
          <w:rFonts w:eastAsia="Arial" w:cs="Arial"/>
          <w:b/>
          <w:bCs/>
          <w:i w:val="false"/>
          <w:iCs w:val="false"/>
          <w:sz w:val="22"/>
          <w:szCs w:val="22"/>
        </w:rPr>
        <w:t>Minnesota Statutes 611.40–611.59: Competency Proceedings</w:t>
      </w:r>
    </w:p>
    <w:p>
      <w:pPr>
        <w:pStyle w:val="Normal"/>
        <w:spacing w:lineRule="auto" w:line="276" w:before="0" w:after="120"/>
        <w:jc w:val="both"/>
        <w:rPr>
          <w:sz w:val="22"/>
          <w:szCs w:val="22"/>
        </w:rPr>
      </w:pPr>
      <w:r>
        <w:rPr>
          <w:rFonts w:eastAsia="Arial" w:cs="Arial"/>
          <w:b w:val="false"/>
          <w:bCs w:val="false"/>
          <w:i w:val="false"/>
          <w:iCs w:val="false"/>
          <w:sz w:val="22"/>
          <w:szCs w:val="22"/>
        </w:rPr>
        <w:t>Minnesota’s competency statute governs the proceedings when a criminal defendant’s competency to stand trial is at issue. The statute was substantially revised in 2022 (Laws 2022, c. 99) and amended in 2023 and 2025. The following excerpts are quoted verbatim from the current statutory text (MN Statutes 2025, as published by the Minnesota Revisor of Statutes).</w:t>
      </w:r>
    </w:p>
    <w:p>
      <w:pPr>
        <w:pStyle w:val="Heading3"/>
        <w:spacing w:lineRule="exact" w:line="276" w:before="230" w:after="86"/>
        <w:rPr>
          <w:sz w:val="24"/>
          <w:szCs w:val="24"/>
        </w:rPr>
      </w:pPr>
      <w:r>
        <w:rPr>
          <w:rFonts w:eastAsia="Arial" w:cs="Arial" w:ascii="Arial" w:hAnsi="Arial"/>
          <w:b/>
          <w:bCs/>
          <w:i w:val="false"/>
          <w:iCs w:val="false"/>
          <w:sz w:val="24"/>
          <w:szCs w:val="24"/>
        </w:rPr>
        <w:t>The Incompetency Standard (611.42, Subd. 1)</w:t>
      </w:r>
    </w:p>
    <w:p>
      <w:pPr>
        <w:pStyle w:val="Normal"/>
        <w:spacing w:lineRule="auto" w:line="276" w:before="0" w:after="58"/>
        <w:jc w:val="both"/>
        <w:rPr>
          <w:sz w:val="22"/>
          <w:szCs w:val="22"/>
        </w:rPr>
      </w:pPr>
      <w:r>
        <w:rPr>
          <w:rFonts w:eastAsia="Arial" w:cs="Arial"/>
          <w:i/>
          <w:iCs/>
          <w:sz w:val="22"/>
          <w:szCs w:val="22"/>
        </w:rPr>
        <w:t>“</w:t>
      </w:r>
      <w:r>
        <w:rPr>
          <w:rFonts w:eastAsia="Arial" w:cs="Arial"/>
          <w:i/>
          <w:iCs/>
          <w:sz w:val="22"/>
          <w:szCs w:val="22"/>
        </w:rPr>
        <w:t>A defendant is incompetent and shall not plead, be tried, or be sentenced if, due to a mental illness or cognitive impairment, the defendant lacks the ability to: (1) rationally consult with counsel; (2) understand the proceedings; or (3) participate in the defense.”</w:t>
      </w:r>
    </w:p>
    <w:p>
      <w:pPr>
        <w:pStyle w:val="Heading3"/>
        <w:spacing w:lineRule="exact" w:line="276" w:before="202" w:after="86"/>
        <w:rPr>
          <w:sz w:val="24"/>
          <w:szCs w:val="24"/>
        </w:rPr>
      </w:pPr>
      <w:r>
        <w:rPr>
          <w:rFonts w:eastAsia="Arial" w:cs="Arial" w:ascii="Arial" w:hAnsi="Arial"/>
          <w:b/>
          <w:bCs/>
          <w:i w:val="false"/>
          <w:iCs w:val="false"/>
          <w:sz w:val="24"/>
          <w:szCs w:val="24"/>
        </w:rPr>
        <w:t>The Notice of Intent to Prosecute (611.45, Subd. 3)</w:t>
      </w:r>
    </w:p>
    <w:p>
      <w:pPr>
        <w:pStyle w:val="Normal"/>
        <w:spacing w:lineRule="exact" w:line="276" w:before="0" w:after="120"/>
        <w:jc w:val="both"/>
        <w:rPr>
          <w:sz w:val="22"/>
          <w:szCs w:val="22"/>
        </w:rPr>
      </w:pPr>
      <w:r>
        <w:rPr>
          <w:rFonts w:eastAsia="Arial" w:cs="Arial"/>
          <w:b w:val="false"/>
          <w:bCs w:val="false"/>
          <w:i w:val="false"/>
          <w:iCs w:val="false"/>
          <w:sz w:val="22"/>
          <w:szCs w:val="22"/>
        </w:rPr>
        <w:t>This is the pivotal statutory mechanism. Once a defendant is found incompetent, charges must be dismissed — unless the prosecutor files a “Notice of Intent to Prosecute.” The timelines:</w:t>
      </w:r>
    </w:p>
    <w:p>
      <w:pPr>
        <w:pStyle w:val="Normal"/>
        <w:spacing w:lineRule="exact" w:line="276" w:before="0" w:after="120"/>
        <w:ind w:left="720" w:hanging="0"/>
        <w:jc w:val="both"/>
        <w:rPr>
          <w:sz w:val="22"/>
          <w:szCs w:val="22"/>
        </w:rPr>
      </w:pPr>
      <w:r>
        <w:rPr>
          <w:rFonts w:eastAsia="Arial" w:cs="Arial"/>
          <w:b/>
          <w:bCs/>
          <w:sz w:val="22"/>
          <w:szCs w:val="22"/>
        </w:rPr>
        <w:t xml:space="preserve">Misdemeanors (non-targeted): </w:t>
      </w:r>
      <w:r>
        <w:rPr>
          <w:rFonts w:eastAsia="Arial" w:cs="Arial"/>
          <w:sz w:val="22"/>
          <w:szCs w:val="22"/>
        </w:rPr>
        <w:t>Charges must be dismissed immediately upon incompetency finding.</w:t>
      </w:r>
    </w:p>
    <w:p>
      <w:pPr>
        <w:pStyle w:val="Normal"/>
        <w:spacing w:lineRule="exact" w:line="276" w:before="0" w:after="120"/>
        <w:ind w:left="720" w:hanging="0"/>
        <w:jc w:val="both"/>
        <w:rPr>
          <w:sz w:val="22"/>
          <w:szCs w:val="22"/>
        </w:rPr>
      </w:pPr>
      <w:r>
        <w:rPr>
          <w:rFonts w:eastAsia="Arial" w:cs="Arial"/>
          <w:b/>
          <w:bCs/>
          <w:sz w:val="22"/>
          <w:szCs w:val="22"/>
        </w:rPr>
        <w:t xml:space="preserve">Targeted misdemeanors/gross misdemeanors: </w:t>
      </w:r>
      <w:r>
        <w:rPr>
          <w:rFonts w:eastAsia="Arial" w:cs="Arial"/>
          <w:sz w:val="22"/>
          <w:szCs w:val="22"/>
        </w:rPr>
        <w:t xml:space="preserve">Charges must be dismissed 30 days after incompetency finding, </w:t>
      </w:r>
      <w:r>
        <w:rPr>
          <w:rFonts w:eastAsia="Arial" w:cs="Arial"/>
          <w:i/>
          <w:iCs/>
          <w:sz w:val="22"/>
          <w:szCs w:val="22"/>
        </w:rPr>
        <w:t xml:space="preserve">unless the prosecutor files a written notice of intent to prosecute. </w:t>
      </w:r>
      <w:r>
        <w:rPr>
          <w:rFonts w:eastAsia="Arial" w:cs="Arial"/>
          <w:sz w:val="22"/>
          <w:szCs w:val="22"/>
        </w:rPr>
        <w:t>If filed: dismissal within 1 year (targeted misdemeanor) or 2 years (gross misdemeanor).</w:t>
      </w:r>
    </w:p>
    <w:p>
      <w:pPr>
        <w:pStyle w:val="Normal"/>
        <w:spacing w:lineRule="exact" w:line="276" w:before="0" w:after="120"/>
        <w:ind w:left="720" w:hanging="0"/>
        <w:jc w:val="both"/>
        <w:rPr>
          <w:sz w:val="22"/>
          <w:szCs w:val="22"/>
        </w:rPr>
      </w:pPr>
      <w:r>
        <w:rPr>
          <w:rFonts w:eastAsia="Arial" w:cs="Arial"/>
          <w:b/>
          <w:bCs/>
          <w:sz w:val="22"/>
          <w:szCs w:val="22"/>
        </w:rPr>
        <w:t xml:space="preserve">Felonies: </w:t>
      </w:r>
      <w:r>
        <w:rPr>
          <w:rFonts w:eastAsia="Arial" w:cs="Arial"/>
          <w:sz w:val="22"/>
          <w:szCs w:val="22"/>
        </w:rPr>
        <w:t xml:space="preserve">Charges must be dismissed 3 years after incompetency finding, </w:t>
      </w:r>
      <w:r>
        <w:rPr>
          <w:rFonts w:eastAsia="Arial" w:cs="Arial"/>
          <w:i/>
          <w:iCs/>
          <w:sz w:val="22"/>
          <w:szCs w:val="22"/>
        </w:rPr>
        <w:t xml:space="preserve">unless the prosecutor files a written notice of intent to prosecute. </w:t>
      </w:r>
      <w:r>
        <w:rPr>
          <w:rFonts w:eastAsia="Arial" w:cs="Arial"/>
          <w:sz w:val="22"/>
          <w:szCs w:val="22"/>
        </w:rPr>
        <w:t>If filed: dismissal within 5 years, or 10 years if maximum sentence ≥ 10 years.</w:t>
      </w:r>
    </w:p>
    <w:p>
      <w:pPr>
        <w:pStyle w:val="Normal"/>
        <w:spacing w:lineRule="exact" w:line="276" w:before="0" w:after="202"/>
        <w:ind w:left="720" w:hanging="0"/>
        <w:jc w:val="both"/>
        <w:rPr>
          <w:sz w:val="22"/>
          <w:szCs w:val="22"/>
        </w:rPr>
      </w:pPr>
      <w:r>
        <w:rPr>
          <w:rFonts w:eastAsia="Arial" w:cs="Arial"/>
          <w:b/>
          <w:bCs/>
          <w:sz w:val="22"/>
          <w:szCs w:val="22"/>
        </w:rPr>
        <w:t xml:space="preserve">Exception (611.45, Subd. 3(d)): </w:t>
      </w:r>
      <w:r>
        <w:rPr>
          <w:rFonts w:eastAsia="Arial" w:cs="Arial"/>
          <w:i/>
          <w:iCs/>
          <w:sz w:val="22"/>
          <w:szCs w:val="22"/>
        </w:rPr>
        <w:t>“The requirement that felony charges be dismissed under paragraph (c) does not apply if: (1) the court orders continuing supervision or monitoring pursuant to section 611.49.”</w:t>
      </w:r>
    </w:p>
    <w:p>
      <w:pPr>
        <w:pStyle w:val="Normal"/>
        <w:spacing w:lineRule="exact" w:line="276" w:before="0" w:after="120"/>
        <w:jc w:val="both"/>
        <w:rPr>
          <w:sz w:val="22"/>
          <w:szCs w:val="22"/>
        </w:rPr>
      </w:pPr>
      <w:r>
        <w:rPr>
          <w:rFonts w:eastAsia="Arial" w:cs="Arial"/>
          <w:b/>
          <w:bCs/>
          <w:sz w:val="22"/>
          <w:szCs w:val="22"/>
        </w:rPr>
        <w:t xml:space="preserve">In plain terms: </w:t>
      </w:r>
      <w:r>
        <w:rPr>
          <w:rFonts w:eastAsia="Arial" w:cs="Arial"/>
          <w:sz w:val="22"/>
          <w:szCs w:val="22"/>
        </w:rPr>
        <w:t>The “Notice of Intent to Prosecute” is the single document that stands between an incompetent defendant and the dismissal of their charges. Without it, the case ends. With it, the case continues for years. And if the court orders continued supervision under 611.49, the felony dismissal requirement disappears entirely.</w:t>
      </w:r>
    </w:p>
    <w:p>
      <w:pPr>
        <w:pStyle w:val="Heading3"/>
        <w:spacing w:lineRule="exact" w:line="276" w:before="230" w:after="115"/>
        <w:rPr>
          <w:sz w:val="24"/>
          <w:szCs w:val="24"/>
        </w:rPr>
      </w:pPr>
      <w:r>
        <w:rPr>
          <w:rFonts w:eastAsia="Arial" w:cs="Arial" w:ascii="Arial" w:hAnsi="Arial"/>
          <w:b/>
          <w:bCs/>
          <w:i w:val="false"/>
          <w:iCs w:val="false"/>
          <w:sz w:val="24"/>
          <w:szCs w:val="24"/>
        </w:rPr>
        <w:t>The Circular Architecture</w:t>
      </w:r>
    </w:p>
    <w:p>
      <w:pPr>
        <w:pStyle w:val="Normal"/>
        <w:spacing w:lineRule="exact" w:line="276" w:before="0" w:after="120"/>
        <w:rPr>
          <w:sz w:val="22"/>
          <w:szCs w:val="22"/>
        </w:rPr>
      </w:pPr>
      <w:r>
        <w:rPr>
          <w:rFonts w:eastAsia="Arial" w:cs="Arial"/>
          <w:b w:val="false"/>
          <w:bCs w:val="false"/>
          <w:i w:val="false"/>
          <w:iCs w:val="false"/>
          <w:sz w:val="22"/>
          <w:szCs w:val="22"/>
        </w:rPr>
        <w:t>The statute creates a self-referencing loop once activated:</w:t>
      </w:r>
    </w:p>
    <w:p>
      <w:pPr>
        <w:pStyle w:val="Normal"/>
        <w:spacing w:lineRule="exact" w:line="276" w:before="0" w:after="115"/>
        <w:ind w:left="720" w:hanging="0"/>
        <w:rPr>
          <w:sz w:val="22"/>
          <w:szCs w:val="22"/>
        </w:rPr>
      </w:pPr>
      <w:r>
        <w:rPr>
          <w:rFonts w:eastAsia="Arial" w:cs="Arial"/>
          <w:b w:val="false"/>
          <w:bCs w:val="false"/>
          <w:i w:val="false"/>
          <w:iCs w:val="false"/>
          <w:sz w:val="22"/>
          <w:szCs w:val="22"/>
        </w:rPr>
        <w:t>1. Defendant charged with any crime (611.42 Subd. 1)</w:t>
      </w:r>
    </w:p>
    <w:p>
      <w:pPr>
        <w:pStyle w:val="Normal"/>
        <w:spacing w:lineRule="exact" w:line="276" w:before="0" w:after="115"/>
        <w:ind w:left="720" w:hanging="0"/>
        <w:jc w:val="both"/>
        <w:rPr>
          <w:sz w:val="22"/>
          <w:szCs w:val="22"/>
        </w:rPr>
      </w:pPr>
      <w:r>
        <w:rPr>
          <w:rFonts w:eastAsia="Arial" w:cs="Arial"/>
          <w:b w:val="false"/>
          <w:bCs w:val="false"/>
          <w:i w:val="false"/>
          <w:iCs w:val="false"/>
          <w:sz w:val="22"/>
          <w:szCs w:val="22"/>
        </w:rPr>
        <w:t>2. Court, prosecutor, OR defense counsel raises competency — defendant’s consent not required (611.42 Subd. 3)</w:t>
      </w:r>
    </w:p>
    <w:p>
      <w:pPr>
        <w:pStyle w:val="Normal"/>
        <w:spacing w:lineRule="exact" w:line="276" w:before="0" w:after="115"/>
        <w:ind w:left="720" w:hanging="0"/>
        <w:jc w:val="both"/>
        <w:rPr>
          <w:sz w:val="22"/>
          <w:szCs w:val="22"/>
        </w:rPr>
      </w:pPr>
      <w:r>
        <w:rPr>
          <w:rFonts w:eastAsia="Arial" w:cs="Arial"/>
          <w:b w:val="false"/>
          <w:bCs w:val="false"/>
          <w:i w:val="false"/>
          <w:iCs w:val="false"/>
          <w:sz w:val="22"/>
          <w:szCs w:val="22"/>
        </w:rPr>
        <w:t>3. Court orders competency examination (611.43)</w:t>
      </w:r>
    </w:p>
    <w:p>
      <w:pPr>
        <w:pStyle w:val="Normal"/>
        <w:spacing w:lineRule="exact" w:line="276" w:before="0" w:after="115"/>
        <w:ind w:left="720" w:hanging="0"/>
        <w:jc w:val="both"/>
        <w:rPr>
          <w:sz w:val="22"/>
          <w:szCs w:val="22"/>
        </w:rPr>
      </w:pPr>
      <w:r>
        <w:rPr>
          <w:rFonts w:eastAsia="Arial" w:cs="Arial"/>
          <w:b w:val="false"/>
          <w:bCs w:val="false"/>
          <w:i w:val="false"/>
          <w:iCs w:val="false"/>
          <w:sz w:val="22"/>
          <w:szCs w:val="22"/>
        </w:rPr>
        <w:t>4. Defendant is presumed incompetent unless found competent by preponderance of evidence (611.44 Subd. 4 — burden reversed)</w:t>
      </w:r>
    </w:p>
    <w:p>
      <w:pPr>
        <w:pStyle w:val="Normal"/>
        <w:spacing w:lineRule="exact" w:line="276" w:before="0" w:after="115"/>
        <w:ind w:left="720" w:hanging="0"/>
        <w:jc w:val="both"/>
        <w:rPr>
          <w:sz w:val="22"/>
          <w:szCs w:val="22"/>
        </w:rPr>
      </w:pPr>
      <w:r>
        <w:rPr>
          <w:rFonts w:eastAsia="Arial" w:cs="Arial"/>
          <w:b w:val="false"/>
          <w:bCs w:val="false"/>
          <w:i w:val="false"/>
          <w:iCs w:val="false"/>
          <w:sz w:val="22"/>
          <w:szCs w:val="22"/>
        </w:rPr>
        <w:t>5. Criminal proceedings suspended — defendant cannot plead, be tried, or be sentenced (611.42 Subd. 1)</w:t>
      </w:r>
    </w:p>
    <w:p>
      <w:pPr>
        <w:pStyle w:val="Normal"/>
        <w:spacing w:lineRule="exact" w:line="276" w:before="0" w:after="115"/>
        <w:ind w:left="720" w:hanging="0"/>
        <w:jc w:val="both"/>
        <w:rPr>
          <w:sz w:val="22"/>
          <w:szCs w:val="22"/>
        </w:rPr>
      </w:pPr>
      <w:r>
        <w:rPr>
          <w:rFonts w:eastAsia="Arial" w:cs="Arial"/>
          <w:b w:val="false"/>
          <w:bCs w:val="false"/>
          <w:i w:val="false"/>
          <w:iCs w:val="false"/>
          <w:sz w:val="22"/>
          <w:szCs w:val="22"/>
        </w:rPr>
        <w:t>6. Court orders defendant to competency attainment program — including jail-based programs with mandatory medication capability (611.46, 611.59 Subd. 3)</w:t>
      </w:r>
    </w:p>
    <w:p>
      <w:pPr>
        <w:pStyle w:val="Normal"/>
        <w:spacing w:lineRule="exact" w:line="276" w:before="0" w:after="115"/>
        <w:ind w:left="720" w:hanging="0"/>
        <w:jc w:val="both"/>
        <w:rPr>
          <w:sz w:val="22"/>
          <w:szCs w:val="22"/>
        </w:rPr>
      </w:pPr>
      <w:r>
        <w:rPr>
          <w:rFonts w:eastAsia="Arial" w:cs="Arial"/>
          <w:b w:val="false"/>
          <w:bCs w:val="false"/>
          <w:i w:val="false"/>
          <w:iCs w:val="false"/>
          <w:sz w:val="22"/>
          <w:szCs w:val="22"/>
        </w:rPr>
        <w:t>7. Notice of Intent to Prosecute filed — charges NOT dismissed (611.45 Subd. 3)</w:t>
      </w:r>
    </w:p>
    <w:p>
      <w:pPr>
        <w:pStyle w:val="Normal"/>
        <w:spacing w:lineRule="exact" w:line="276" w:before="0" w:after="115"/>
        <w:ind w:left="720" w:hanging="0"/>
        <w:jc w:val="both"/>
        <w:rPr>
          <w:sz w:val="22"/>
          <w:szCs w:val="22"/>
        </w:rPr>
      </w:pPr>
      <w:r>
        <w:rPr>
          <w:rFonts w:eastAsia="Arial" w:cs="Arial"/>
          <w:b w:val="false"/>
          <w:bCs w:val="false"/>
          <w:i w:val="false"/>
          <w:iCs w:val="false"/>
          <w:sz w:val="22"/>
          <w:szCs w:val="22"/>
        </w:rPr>
        <w:t>8. Review hearings every 6–12 months (611.46 Subd. 6) — if still incompetent, loop to Step 6</w:t>
      </w:r>
    </w:p>
    <w:p>
      <w:pPr>
        <w:pStyle w:val="Normal"/>
        <w:spacing w:lineRule="exact" w:line="276" w:before="0" w:after="115"/>
        <w:ind w:left="720" w:hanging="0"/>
        <w:jc w:val="both"/>
        <w:rPr>
          <w:sz w:val="22"/>
          <w:szCs w:val="22"/>
        </w:rPr>
      </w:pPr>
      <w:r>
        <w:rPr>
          <w:rFonts w:eastAsia="Arial" w:cs="Arial"/>
          <w:b w:val="false"/>
          <w:bCs w:val="false"/>
          <w:i w:val="false"/>
          <w:iCs w:val="false"/>
          <w:sz w:val="22"/>
          <w:szCs w:val="22"/>
        </w:rPr>
        <w:t>9. If unlikely to attain competency: continued supervision up to 10 years or indefinitely for certain charges (611.49 Subd. 3)</w:t>
      </w:r>
    </w:p>
    <w:p>
      <w:pPr>
        <w:pStyle w:val="Normal"/>
        <w:spacing w:lineRule="exact" w:line="276" w:before="0" w:after="288"/>
        <w:ind w:left="720" w:hanging="0"/>
        <w:rPr>
          <w:sz w:val="22"/>
          <w:szCs w:val="22"/>
        </w:rPr>
      </w:pPr>
      <w:r>
        <w:rPr>
          <w:rFonts w:eastAsia="Arial" w:cs="Arial"/>
          <w:b w:val="false"/>
          <w:bCs w:val="false"/>
          <w:i w:val="false"/>
          <w:iCs w:val="false"/>
          <w:sz w:val="22"/>
          <w:szCs w:val="22"/>
        </w:rPr>
        <w:t>10. Court can authorize involuntary neuroleptic medication for renewable 1-year terms (611.47)</w:t>
      </w:r>
    </w:p>
    <w:p>
      <w:pPr>
        <w:pStyle w:val="Normal"/>
        <w:spacing w:lineRule="exact" w:line="276" w:before="0" w:after="120"/>
        <w:jc w:val="both"/>
        <w:rPr>
          <w:sz w:val="22"/>
          <w:szCs w:val="22"/>
        </w:rPr>
      </w:pPr>
      <w:r>
        <w:rPr>
          <w:rFonts w:eastAsia="Arial" w:cs="Arial"/>
          <w:b/>
          <w:bCs/>
          <w:sz w:val="22"/>
          <w:szCs w:val="22"/>
        </w:rPr>
        <w:t xml:space="preserve">The catch: </w:t>
      </w:r>
      <w:r>
        <w:rPr>
          <w:rFonts w:eastAsia="Arial" w:cs="Arial"/>
          <w:sz w:val="22"/>
          <w:szCs w:val="22"/>
        </w:rPr>
        <w:t>The defendant cannot litigate the underlying charges while incompetent (611.42 Subd. 1). The defendant cannot waive counsel (611.42 Subd. 2). The defendant can be excluded from their own hearing (611.50 Subd. 3). Medical professionals can request that hearings proceed without the defendant (611.50 Subd. 2). Cooperation channels the defendant into the medication/programming loop; but refusal to cooperate cannot be used against them (611.49 Subd. 1(b)) — leaving the defendant with no path out.</w:t>
      </w:r>
    </w:p>
    <w:p>
      <w:pPr>
        <w:pStyle w:val="Heading3"/>
        <w:spacing w:lineRule="exact" w:line="276" w:before="230" w:after="86"/>
        <w:rPr>
          <w:sz w:val="24"/>
          <w:szCs w:val="24"/>
        </w:rPr>
      </w:pPr>
      <w:r>
        <w:rPr>
          <w:rFonts w:eastAsia="Arial" w:cs="Arial" w:ascii="Arial" w:hAnsi="Arial"/>
          <w:b/>
          <w:bCs/>
          <w:i w:val="false"/>
          <w:iCs w:val="false"/>
          <w:sz w:val="24"/>
          <w:szCs w:val="24"/>
        </w:rPr>
        <w:t>Statute Word Frequency Analysis</w:t>
      </w:r>
    </w:p>
    <w:p>
      <w:pPr>
        <w:pStyle w:val="Normal"/>
        <w:spacing w:lineRule="exact" w:line="276" w:before="0" w:after="173"/>
        <w:rPr>
          <w:sz w:val="22"/>
          <w:szCs w:val="22"/>
        </w:rPr>
      </w:pPr>
      <w:r>
        <w:rPr>
          <w:rFonts w:eastAsia="Arial" w:cs="Arial"/>
          <w:b w:val="false"/>
          <w:bCs w:val="false"/>
          <w:i w:val="false"/>
          <w:iCs w:val="false"/>
          <w:sz w:val="22"/>
          <w:szCs w:val="22"/>
        </w:rPr>
        <w:t>An analysis of the full statutory text of MN 611.40–611.59 reveals the following word frequencies:</w:t>
      </w:r>
    </w:p>
    <w:tbl>
      <w:tblPr>
        <w:tblW w:w="10080" w:type="dxa"/>
        <w:jc w:val="left"/>
        <w:tblInd w:w="-2" w:type="dxa"/>
        <w:tblLayout w:type="fixed"/>
        <w:tblCellMar>
          <w:top w:w="60" w:type="dxa"/>
          <w:left w:w="100" w:type="dxa"/>
          <w:bottom w:w="60" w:type="dxa"/>
          <w:right w:w="100" w:type="dxa"/>
        </w:tblCellMar>
      </w:tblPr>
      <w:tblGrid>
        <w:gridCol w:w="3690"/>
        <w:gridCol w:w="1800"/>
        <w:gridCol w:w="4590"/>
      </w:tblGrid>
      <w:tr>
        <w:trPr>
          <w:trHeight w:val="461" w:hRule="exact"/>
        </w:trPr>
        <w:tc>
          <w:tcPr>
            <w:tcW w:w="3690"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ind w:left="0" w:hanging="0"/>
              <w:jc w:val="left"/>
              <w:rPr/>
            </w:pPr>
            <w:r>
              <w:rPr>
                <w:rFonts w:eastAsia="Arial" w:cs="Arial"/>
                <w:b/>
                <w:bCs/>
                <w:color w:val="FFFFFF"/>
                <w:sz w:val="22"/>
                <w:szCs w:val="22"/>
              </w:rPr>
              <w:t>Term</w:t>
            </w:r>
          </w:p>
        </w:tc>
        <w:tc>
          <w:tcPr>
            <w:tcW w:w="1800"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ind w:left="0" w:hanging="0"/>
              <w:jc w:val="left"/>
              <w:rPr/>
            </w:pPr>
            <w:r>
              <w:rPr>
                <w:rFonts w:eastAsia="Arial" w:cs="Arial"/>
                <w:b/>
                <w:bCs/>
                <w:color w:val="FFFFFF"/>
                <w:sz w:val="22"/>
                <w:szCs w:val="22"/>
              </w:rPr>
              <w:t>Occurrences</w:t>
            </w:r>
          </w:p>
        </w:tc>
        <w:tc>
          <w:tcPr>
            <w:tcW w:w="4590"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ind w:left="0" w:hanging="0"/>
              <w:jc w:val="left"/>
              <w:rPr/>
            </w:pPr>
            <w:r>
              <w:rPr>
                <w:rFonts w:eastAsia="Arial" w:cs="Arial"/>
                <w:b/>
                <w:bCs/>
                <w:color w:val="FFFFFF"/>
                <w:sz w:val="22"/>
                <w:szCs w:val="22"/>
              </w:rPr>
              <w:t>Context</w:t>
            </w:r>
          </w:p>
        </w:tc>
      </w:tr>
      <w:tr>
        <w:trPr>
          <w:trHeight w:val="403" w:hRule="exact"/>
        </w:trPr>
        <w:tc>
          <w:tcPr>
            <w:tcW w:w="3690" w:type="dxa"/>
            <w:tcBorders>
              <w:top w:val="single" w:sz="2" w:space="0" w:color="CCCCCC"/>
              <w:left w:val="single" w:sz="2" w:space="0" w:color="CCCCCC"/>
              <w:bottom w:val="single" w:sz="2" w:space="0" w:color="CCCCCC"/>
              <w:right w:val="single" w:sz="2" w:space="0" w:color="CCCCCC"/>
            </w:tcBorders>
          </w:tcPr>
          <w:p>
            <w:pPr>
              <w:pStyle w:val="Normal"/>
              <w:widowControl w:val="false"/>
              <w:ind w:left="0" w:hanging="0"/>
              <w:rPr>
                <w:sz w:val="22"/>
                <w:szCs w:val="22"/>
              </w:rPr>
            </w:pPr>
            <w:r>
              <w:rPr>
                <w:rFonts w:eastAsia="Arial" w:cs="Arial"/>
                <w:b w:val="false"/>
                <w:bCs w:val="false"/>
                <w:sz w:val="22"/>
                <w:szCs w:val="22"/>
              </w:rPr>
              <w:t>“</w:t>
            </w:r>
            <w:r>
              <w:rPr>
                <w:rFonts w:eastAsia="Arial" w:cs="Arial"/>
                <w:b w:val="false"/>
                <w:bCs w:val="false"/>
                <w:sz w:val="22"/>
                <w:szCs w:val="22"/>
              </w:rPr>
              <w:t>medication”</w:t>
            </w:r>
          </w:p>
        </w:tc>
        <w:tc>
          <w:tcPr>
            <w:tcW w:w="1800" w:type="dxa"/>
            <w:tcBorders>
              <w:top w:val="single" w:sz="2" w:space="0" w:color="CCCCCC"/>
              <w:left w:val="single" w:sz="2" w:space="0" w:color="CCCCCC"/>
              <w:bottom w:val="single" w:sz="2" w:space="0" w:color="CCCCCC"/>
              <w:right w:val="single" w:sz="2" w:space="0" w:color="CCCCCC"/>
            </w:tcBorders>
          </w:tcPr>
          <w:p>
            <w:pPr>
              <w:pStyle w:val="Normal"/>
              <w:widowControl w:val="false"/>
              <w:ind w:left="0" w:hanging="0"/>
              <w:rPr>
                <w:sz w:val="22"/>
                <w:szCs w:val="22"/>
              </w:rPr>
            </w:pPr>
            <w:r>
              <w:rPr>
                <w:rFonts w:eastAsia="Arial" w:cs="Arial"/>
                <w:b w:val="false"/>
                <w:bCs w:val="false"/>
                <w:sz w:val="22"/>
                <w:szCs w:val="22"/>
              </w:rPr>
              <w:t>59</w:t>
            </w:r>
          </w:p>
        </w:tc>
        <w:tc>
          <w:tcPr>
            <w:tcW w:w="4590" w:type="dxa"/>
            <w:tcBorders>
              <w:top w:val="single" w:sz="2" w:space="0" w:color="CCCCCC"/>
              <w:left w:val="single" w:sz="2" w:space="0" w:color="CCCCCC"/>
              <w:bottom w:val="single" w:sz="2" w:space="0" w:color="CCCCCC"/>
              <w:right w:val="single" w:sz="2" w:space="0" w:color="CCCCCC"/>
            </w:tcBorders>
          </w:tcPr>
          <w:p>
            <w:pPr>
              <w:pStyle w:val="Normal"/>
              <w:widowControl w:val="false"/>
              <w:ind w:left="0" w:hanging="0"/>
              <w:rPr>
                <w:sz w:val="22"/>
                <w:szCs w:val="22"/>
              </w:rPr>
            </w:pPr>
            <w:r>
              <w:rPr>
                <w:rFonts w:eastAsia="Arial" w:cs="Arial"/>
                <w:b w:val="false"/>
                <w:bCs w:val="false"/>
                <w:sz w:val="22"/>
                <w:szCs w:val="22"/>
              </w:rPr>
              <w:t>Governing forced medication procedures</w:t>
            </w:r>
          </w:p>
        </w:tc>
      </w:tr>
      <w:tr>
        <w:trPr>
          <w:trHeight w:val="403" w:hRule="exact"/>
        </w:trPr>
        <w:tc>
          <w:tcPr>
            <w:tcW w:w="369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ind w:left="0" w:hanging="0"/>
              <w:rPr>
                <w:sz w:val="22"/>
                <w:szCs w:val="22"/>
              </w:rPr>
            </w:pPr>
            <w:r>
              <w:rPr>
                <w:rFonts w:eastAsia="Arial" w:cs="Arial"/>
                <w:b w:val="false"/>
                <w:bCs w:val="false"/>
                <w:sz w:val="22"/>
                <w:szCs w:val="22"/>
              </w:rPr>
              <w:t>“</w:t>
            </w:r>
            <w:r>
              <w:rPr>
                <w:rFonts w:eastAsia="Arial" w:cs="Arial"/>
                <w:b w:val="false"/>
                <w:bCs w:val="false"/>
                <w:sz w:val="22"/>
                <w:szCs w:val="22"/>
              </w:rPr>
              <w:t>neuroleptic”</w:t>
            </w:r>
          </w:p>
        </w:tc>
        <w:tc>
          <w:tcPr>
            <w:tcW w:w="180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ind w:left="0" w:hanging="0"/>
              <w:rPr>
                <w:sz w:val="22"/>
                <w:szCs w:val="22"/>
              </w:rPr>
            </w:pPr>
            <w:r>
              <w:rPr>
                <w:rFonts w:eastAsia="Arial" w:cs="Arial"/>
                <w:b w:val="false"/>
                <w:bCs w:val="false"/>
                <w:sz w:val="22"/>
                <w:szCs w:val="22"/>
              </w:rPr>
              <w:t>37</w:t>
            </w:r>
          </w:p>
        </w:tc>
        <w:tc>
          <w:tcPr>
            <w:tcW w:w="459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ind w:left="0" w:hanging="0"/>
              <w:rPr>
                <w:sz w:val="22"/>
                <w:szCs w:val="22"/>
              </w:rPr>
            </w:pPr>
            <w:r>
              <w:rPr>
                <w:rFonts w:eastAsia="Arial" w:cs="Arial"/>
                <w:b w:val="false"/>
                <w:bCs w:val="false"/>
                <w:sz w:val="22"/>
                <w:szCs w:val="22"/>
              </w:rPr>
              <w:t>Specifying the class of psychiatric drugs</w:t>
            </w:r>
          </w:p>
        </w:tc>
      </w:tr>
      <w:tr>
        <w:trPr>
          <w:trHeight w:val="403" w:hRule="exact"/>
        </w:trPr>
        <w:tc>
          <w:tcPr>
            <w:tcW w:w="3690" w:type="dxa"/>
            <w:tcBorders>
              <w:top w:val="single" w:sz="2" w:space="0" w:color="CCCCCC"/>
              <w:left w:val="single" w:sz="2" w:space="0" w:color="CCCCCC"/>
              <w:bottom w:val="single" w:sz="2" w:space="0" w:color="CCCCCC"/>
              <w:right w:val="single" w:sz="2" w:space="0" w:color="CCCCCC"/>
            </w:tcBorders>
          </w:tcPr>
          <w:p>
            <w:pPr>
              <w:pStyle w:val="Normal"/>
              <w:widowControl w:val="false"/>
              <w:ind w:left="0" w:hanging="0"/>
              <w:rPr>
                <w:sz w:val="22"/>
                <w:szCs w:val="22"/>
              </w:rPr>
            </w:pPr>
            <w:r>
              <w:rPr>
                <w:rFonts w:eastAsia="Arial" w:cs="Arial"/>
                <w:b w:val="false"/>
                <w:bCs w:val="false"/>
                <w:sz w:val="22"/>
                <w:szCs w:val="22"/>
              </w:rPr>
              <w:t>“</w:t>
            </w:r>
            <w:r>
              <w:rPr>
                <w:rFonts w:eastAsia="Arial" w:cs="Arial"/>
                <w:b w:val="false"/>
                <w:bCs w:val="false"/>
                <w:sz w:val="22"/>
                <w:szCs w:val="22"/>
              </w:rPr>
              <w:t>mental illness”</w:t>
            </w:r>
          </w:p>
        </w:tc>
        <w:tc>
          <w:tcPr>
            <w:tcW w:w="1800" w:type="dxa"/>
            <w:tcBorders>
              <w:top w:val="single" w:sz="2" w:space="0" w:color="CCCCCC"/>
              <w:left w:val="single" w:sz="2" w:space="0" w:color="CCCCCC"/>
              <w:bottom w:val="single" w:sz="2" w:space="0" w:color="CCCCCC"/>
              <w:right w:val="single" w:sz="2" w:space="0" w:color="CCCCCC"/>
            </w:tcBorders>
          </w:tcPr>
          <w:p>
            <w:pPr>
              <w:pStyle w:val="Normal"/>
              <w:widowControl w:val="false"/>
              <w:ind w:left="0" w:hanging="0"/>
              <w:rPr>
                <w:sz w:val="22"/>
                <w:szCs w:val="22"/>
              </w:rPr>
            </w:pPr>
            <w:r>
              <w:rPr>
                <w:rFonts w:eastAsia="Arial" w:cs="Arial"/>
                <w:b w:val="false"/>
                <w:bCs w:val="false"/>
                <w:sz w:val="22"/>
                <w:szCs w:val="22"/>
              </w:rPr>
              <w:t>19</w:t>
            </w:r>
          </w:p>
        </w:tc>
        <w:tc>
          <w:tcPr>
            <w:tcW w:w="4590" w:type="dxa"/>
            <w:tcBorders>
              <w:top w:val="single" w:sz="2" w:space="0" w:color="CCCCCC"/>
              <w:left w:val="single" w:sz="2" w:space="0" w:color="CCCCCC"/>
              <w:bottom w:val="single" w:sz="2" w:space="0" w:color="CCCCCC"/>
              <w:right w:val="single" w:sz="2" w:space="0" w:color="CCCCCC"/>
            </w:tcBorders>
          </w:tcPr>
          <w:p>
            <w:pPr>
              <w:pStyle w:val="Normal"/>
              <w:widowControl w:val="false"/>
              <w:ind w:left="0" w:hanging="0"/>
              <w:rPr>
                <w:sz w:val="22"/>
                <w:szCs w:val="22"/>
              </w:rPr>
            </w:pPr>
            <w:r>
              <w:rPr>
                <w:rFonts w:eastAsia="Arial" w:cs="Arial"/>
                <w:b w:val="false"/>
                <w:bCs w:val="false"/>
                <w:sz w:val="22"/>
                <w:szCs w:val="22"/>
              </w:rPr>
              <w:t>Defining the triggering condition</w:t>
            </w:r>
          </w:p>
        </w:tc>
      </w:tr>
      <w:tr>
        <w:trPr>
          <w:trHeight w:val="691" w:hRule="exact"/>
        </w:trPr>
        <w:tc>
          <w:tcPr>
            <w:tcW w:w="369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ind w:left="0" w:hanging="0"/>
              <w:rPr>
                <w:sz w:val="22"/>
                <w:szCs w:val="22"/>
              </w:rPr>
            </w:pPr>
            <w:r>
              <w:rPr>
                <w:rFonts w:eastAsia="Arial" w:cs="Arial"/>
                <w:b w:val="false"/>
                <w:bCs w:val="false"/>
                <w:sz w:val="22"/>
                <w:szCs w:val="22"/>
              </w:rPr>
              <w:t>“</w:t>
            </w:r>
            <w:r>
              <w:rPr>
                <w:rFonts w:eastAsia="Arial" w:cs="Arial"/>
                <w:b w:val="false"/>
                <w:bCs w:val="false"/>
                <w:sz w:val="22"/>
                <w:szCs w:val="22"/>
              </w:rPr>
              <w:t>administration of neuroleptic medication”</w:t>
            </w:r>
          </w:p>
        </w:tc>
        <w:tc>
          <w:tcPr>
            <w:tcW w:w="180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ind w:left="0" w:hanging="0"/>
              <w:rPr>
                <w:sz w:val="22"/>
                <w:szCs w:val="22"/>
              </w:rPr>
            </w:pPr>
            <w:r>
              <w:rPr>
                <w:rFonts w:eastAsia="Arial" w:cs="Arial"/>
                <w:b w:val="false"/>
                <w:bCs w:val="false"/>
                <w:sz w:val="22"/>
                <w:szCs w:val="22"/>
              </w:rPr>
              <w:t>16</w:t>
            </w:r>
          </w:p>
        </w:tc>
        <w:tc>
          <w:tcPr>
            <w:tcW w:w="459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ind w:left="0" w:hanging="0"/>
              <w:rPr>
                <w:sz w:val="22"/>
                <w:szCs w:val="22"/>
              </w:rPr>
            </w:pPr>
            <w:r>
              <w:rPr>
                <w:rFonts w:eastAsia="Arial" w:cs="Arial"/>
                <w:b w:val="false"/>
                <w:bCs w:val="false"/>
                <w:sz w:val="22"/>
                <w:szCs w:val="22"/>
              </w:rPr>
              <w:t>Procedural authorization</w:t>
            </w:r>
          </w:p>
        </w:tc>
      </w:tr>
      <w:tr>
        <w:trPr/>
        <w:tc>
          <w:tcPr>
            <w:tcW w:w="3690" w:type="dxa"/>
            <w:tcBorders>
              <w:top w:val="single" w:sz="2" w:space="0" w:color="CCCCCC"/>
              <w:left w:val="single" w:sz="2" w:space="0" w:color="CCCCCC"/>
              <w:bottom w:val="single" w:sz="2" w:space="0" w:color="CCCCCC"/>
              <w:right w:val="single" w:sz="2" w:space="0" w:color="CCCCCC"/>
            </w:tcBorders>
          </w:tcPr>
          <w:p>
            <w:pPr>
              <w:pStyle w:val="Normal"/>
              <w:widowControl w:val="false"/>
              <w:ind w:left="0" w:hanging="0"/>
              <w:rPr>
                <w:sz w:val="22"/>
                <w:szCs w:val="22"/>
              </w:rPr>
            </w:pPr>
            <w:r>
              <w:rPr>
                <w:rFonts w:eastAsia="Arial" w:cs="Arial"/>
                <w:b w:val="false"/>
                <w:bCs w:val="false"/>
                <w:sz w:val="22"/>
                <w:szCs w:val="22"/>
              </w:rPr>
              <w:t>“</w:t>
            </w:r>
            <w:r>
              <w:rPr>
                <w:rFonts w:eastAsia="Arial" w:cs="Arial"/>
                <w:b w:val="false"/>
                <w:bCs w:val="false"/>
                <w:sz w:val="22"/>
                <w:szCs w:val="22"/>
              </w:rPr>
              <w:t>mental health”</w:t>
            </w:r>
          </w:p>
        </w:tc>
        <w:tc>
          <w:tcPr>
            <w:tcW w:w="1800" w:type="dxa"/>
            <w:tcBorders>
              <w:top w:val="single" w:sz="2" w:space="0" w:color="CCCCCC"/>
              <w:left w:val="single" w:sz="2" w:space="0" w:color="CCCCCC"/>
              <w:bottom w:val="single" w:sz="2" w:space="0" w:color="CCCCCC"/>
              <w:right w:val="single" w:sz="2" w:space="0" w:color="CCCCCC"/>
            </w:tcBorders>
          </w:tcPr>
          <w:p>
            <w:pPr>
              <w:pStyle w:val="Normal"/>
              <w:widowControl w:val="false"/>
              <w:ind w:left="0" w:hanging="0"/>
              <w:rPr>
                <w:sz w:val="22"/>
                <w:szCs w:val="22"/>
              </w:rPr>
            </w:pPr>
            <w:r>
              <w:rPr>
                <w:rFonts w:eastAsia="Arial" w:cs="Arial"/>
                <w:b w:val="false"/>
                <w:bCs w:val="false"/>
                <w:sz w:val="22"/>
                <w:szCs w:val="22"/>
              </w:rPr>
              <w:t>15</w:t>
            </w:r>
          </w:p>
        </w:tc>
        <w:tc>
          <w:tcPr>
            <w:tcW w:w="4590" w:type="dxa"/>
            <w:tcBorders>
              <w:top w:val="single" w:sz="2" w:space="0" w:color="CCCCCC"/>
              <w:left w:val="single" w:sz="2" w:space="0" w:color="CCCCCC"/>
              <w:bottom w:val="single" w:sz="2" w:space="0" w:color="CCCCCC"/>
              <w:right w:val="single" w:sz="2" w:space="0" w:color="CCCCCC"/>
            </w:tcBorders>
          </w:tcPr>
          <w:p>
            <w:pPr>
              <w:pStyle w:val="Normal"/>
              <w:widowControl w:val="false"/>
              <w:ind w:left="0" w:hanging="0"/>
              <w:rPr>
                <w:sz w:val="22"/>
                <w:szCs w:val="22"/>
              </w:rPr>
            </w:pPr>
            <w:r>
              <w:rPr>
                <w:rFonts w:eastAsia="Arial" w:cs="Arial"/>
                <w:b w:val="false"/>
                <w:bCs w:val="false"/>
                <w:sz w:val="22"/>
                <w:szCs w:val="22"/>
              </w:rPr>
              <w:t>General references</w:t>
            </w:r>
          </w:p>
        </w:tc>
      </w:tr>
      <w:tr>
        <w:trPr>
          <w:trHeight w:val="403" w:hRule="exact"/>
        </w:trPr>
        <w:tc>
          <w:tcPr>
            <w:tcW w:w="369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ind w:left="0" w:hanging="0"/>
              <w:rPr>
                <w:sz w:val="22"/>
                <w:szCs w:val="22"/>
              </w:rPr>
            </w:pPr>
            <w:r>
              <w:rPr>
                <w:rFonts w:eastAsia="Arial" w:cs="Arial"/>
                <w:b w:val="false"/>
                <w:bCs w:val="false"/>
                <w:sz w:val="22"/>
                <w:szCs w:val="22"/>
              </w:rPr>
              <w:t>“</w:t>
            </w:r>
            <w:r>
              <w:rPr>
                <w:rFonts w:eastAsia="Arial" w:cs="Arial"/>
                <w:b w:val="false"/>
                <w:bCs w:val="false"/>
                <w:sz w:val="22"/>
                <w:szCs w:val="22"/>
              </w:rPr>
              <w:t>authorized/authorization”</w:t>
            </w:r>
          </w:p>
        </w:tc>
        <w:tc>
          <w:tcPr>
            <w:tcW w:w="180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ind w:left="0" w:hanging="0"/>
              <w:rPr>
                <w:sz w:val="22"/>
                <w:szCs w:val="22"/>
              </w:rPr>
            </w:pPr>
            <w:r>
              <w:rPr>
                <w:rFonts w:eastAsia="Arial" w:cs="Arial"/>
                <w:b w:val="false"/>
                <w:bCs w:val="false"/>
                <w:sz w:val="22"/>
                <w:szCs w:val="22"/>
              </w:rPr>
              <w:t>10</w:t>
            </w:r>
          </w:p>
        </w:tc>
        <w:tc>
          <w:tcPr>
            <w:tcW w:w="459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ind w:left="0" w:hanging="0"/>
              <w:rPr>
                <w:sz w:val="22"/>
                <w:szCs w:val="22"/>
              </w:rPr>
            </w:pPr>
            <w:r>
              <w:rPr>
                <w:rFonts w:eastAsia="Arial" w:cs="Arial"/>
                <w:b w:val="false"/>
                <w:bCs w:val="false"/>
                <w:sz w:val="22"/>
                <w:szCs w:val="22"/>
              </w:rPr>
              <w:t>Granting authority for medication/supervision</w:t>
            </w:r>
          </w:p>
        </w:tc>
      </w:tr>
      <w:tr>
        <w:trPr>
          <w:trHeight w:val="403" w:hRule="exact"/>
        </w:trPr>
        <w:tc>
          <w:tcPr>
            <w:tcW w:w="3690" w:type="dxa"/>
            <w:tcBorders>
              <w:top w:val="single" w:sz="2" w:space="0" w:color="CCCCCC"/>
              <w:left w:val="single" w:sz="2" w:space="0" w:color="CCCCCC"/>
              <w:bottom w:val="single" w:sz="2" w:space="0" w:color="CCCCCC"/>
              <w:right w:val="single" w:sz="2" w:space="0" w:color="CCCCCC"/>
            </w:tcBorders>
          </w:tcPr>
          <w:p>
            <w:pPr>
              <w:pStyle w:val="Normal"/>
              <w:widowControl w:val="false"/>
              <w:ind w:left="0" w:hanging="0"/>
              <w:rPr>
                <w:sz w:val="22"/>
                <w:szCs w:val="22"/>
              </w:rPr>
            </w:pPr>
            <w:r>
              <w:rPr>
                <w:rFonts w:eastAsia="Arial" w:cs="Arial"/>
                <w:b w:val="false"/>
                <w:bCs w:val="false"/>
                <w:sz w:val="22"/>
                <w:szCs w:val="22"/>
              </w:rPr>
              <w:t>“</w:t>
            </w:r>
            <w:r>
              <w:rPr>
                <w:rFonts w:eastAsia="Arial" w:cs="Arial"/>
                <w:b w:val="false"/>
                <w:bCs w:val="false"/>
                <w:sz w:val="22"/>
                <w:szCs w:val="22"/>
              </w:rPr>
              <w:t>dangerous”</w:t>
            </w:r>
          </w:p>
        </w:tc>
        <w:tc>
          <w:tcPr>
            <w:tcW w:w="1800" w:type="dxa"/>
            <w:tcBorders>
              <w:top w:val="single" w:sz="2" w:space="0" w:color="CCCCCC"/>
              <w:left w:val="single" w:sz="2" w:space="0" w:color="CCCCCC"/>
              <w:bottom w:val="single" w:sz="2" w:space="0" w:color="CCCCCC"/>
              <w:right w:val="single" w:sz="2" w:space="0" w:color="CCCCCC"/>
            </w:tcBorders>
          </w:tcPr>
          <w:p>
            <w:pPr>
              <w:pStyle w:val="Normal"/>
              <w:widowControl w:val="false"/>
              <w:ind w:left="0" w:hanging="0"/>
              <w:rPr>
                <w:sz w:val="22"/>
                <w:szCs w:val="22"/>
              </w:rPr>
            </w:pPr>
            <w:r>
              <w:rPr>
                <w:rFonts w:eastAsia="Arial" w:cs="Arial"/>
                <w:b w:val="false"/>
                <w:bCs w:val="false"/>
                <w:sz w:val="22"/>
                <w:szCs w:val="22"/>
              </w:rPr>
              <w:t>0</w:t>
            </w:r>
          </w:p>
        </w:tc>
        <w:tc>
          <w:tcPr>
            <w:tcW w:w="4590" w:type="dxa"/>
            <w:tcBorders>
              <w:top w:val="single" w:sz="2" w:space="0" w:color="CCCCCC"/>
              <w:left w:val="single" w:sz="2" w:space="0" w:color="CCCCCC"/>
              <w:bottom w:val="single" w:sz="2" w:space="0" w:color="CCCCCC"/>
              <w:right w:val="single" w:sz="2" w:space="0" w:color="CCCCCC"/>
            </w:tcBorders>
          </w:tcPr>
          <w:p>
            <w:pPr>
              <w:pStyle w:val="Normal"/>
              <w:widowControl w:val="false"/>
              <w:ind w:left="0" w:hanging="0"/>
              <w:rPr>
                <w:b/>
                <w:b/>
                <w:bCs/>
                <w:sz w:val="20"/>
                <w:szCs w:val="20"/>
              </w:rPr>
            </w:pPr>
            <w:r>
              <w:rPr>
                <w:rFonts w:eastAsia="Arial" w:cs="Arial"/>
                <w:b/>
                <w:bCs/>
                <w:sz w:val="20"/>
                <w:szCs w:val="20"/>
              </w:rPr>
              <w:t>NEVER APPEARS</w:t>
            </w:r>
          </w:p>
        </w:tc>
      </w:tr>
      <w:tr>
        <w:trPr>
          <w:trHeight w:val="403" w:hRule="exact"/>
        </w:trPr>
        <w:tc>
          <w:tcPr>
            <w:tcW w:w="369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ind w:left="0" w:hanging="0"/>
              <w:rPr>
                <w:sz w:val="22"/>
                <w:szCs w:val="22"/>
              </w:rPr>
            </w:pPr>
            <w:r>
              <w:rPr>
                <w:rFonts w:eastAsia="Arial" w:cs="Arial"/>
                <w:b w:val="false"/>
                <w:bCs w:val="false"/>
                <w:sz w:val="22"/>
                <w:szCs w:val="22"/>
              </w:rPr>
              <w:t>“</w:t>
            </w:r>
            <w:r>
              <w:rPr>
                <w:rFonts w:eastAsia="Arial" w:cs="Arial"/>
                <w:b w:val="false"/>
                <w:bCs w:val="false"/>
                <w:sz w:val="22"/>
                <w:szCs w:val="22"/>
              </w:rPr>
              <w:t>due process”</w:t>
            </w:r>
          </w:p>
        </w:tc>
        <w:tc>
          <w:tcPr>
            <w:tcW w:w="180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ind w:left="0" w:hanging="0"/>
              <w:rPr>
                <w:sz w:val="22"/>
                <w:szCs w:val="22"/>
              </w:rPr>
            </w:pPr>
            <w:r>
              <w:rPr>
                <w:rFonts w:eastAsia="Arial" w:cs="Arial"/>
                <w:b w:val="false"/>
                <w:bCs w:val="false"/>
                <w:sz w:val="22"/>
                <w:szCs w:val="22"/>
              </w:rPr>
              <w:t>0</w:t>
            </w:r>
          </w:p>
        </w:tc>
        <w:tc>
          <w:tcPr>
            <w:tcW w:w="459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ind w:left="0" w:hanging="0"/>
              <w:rPr>
                <w:b/>
                <w:b/>
                <w:bCs/>
                <w:sz w:val="20"/>
                <w:szCs w:val="20"/>
              </w:rPr>
            </w:pPr>
            <w:r>
              <w:rPr>
                <w:rFonts w:eastAsia="Arial" w:cs="Arial"/>
                <w:b/>
                <w:bCs/>
                <w:sz w:val="20"/>
                <w:szCs w:val="20"/>
              </w:rPr>
              <w:t>NEVER APPEARS</w:t>
            </w:r>
          </w:p>
        </w:tc>
      </w:tr>
      <w:tr>
        <w:trPr>
          <w:trHeight w:val="403" w:hRule="exact"/>
        </w:trPr>
        <w:tc>
          <w:tcPr>
            <w:tcW w:w="3690" w:type="dxa"/>
            <w:tcBorders>
              <w:top w:val="single" w:sz="2" w:space="0" w:color="CCCCCC"/>
              <w:left w:val="single" w:sz="2" w:space="0" w:color="CCCCCC"/>
              <w:bottom w:val="single" w:sz="2" w:space="0" w:color="CCCCCC"/>
              <w:right w:val="single" w:sz="2" w:space="0" w:color="CCCCCC"/>
            </w:tcBorders>
          </w:tcPr>
          <w:p>
            <w:pPr>
              <w:pStyle w:val="Normal"/>
              <w:widowControl w:val="false"/>
              <w:ind w:left="0" w:hanging="0"/>
              <w:rPr>
                <w:sz w:val="22"/>
                <w:szCs w:val="22"/>
              </w:rPr>
            </w:pPr>
            <w:r>
              <w:rPr>
                <w:rFonts w:eastAsia="Arial" w:cs="Arial"/>
                <w:b w:val="false"/>
                <w:bCs w:val="false"/>
                <w:sz w:val="22"/>
                <w:szCs w:val="22"/>
              </w:rPr>
              <w:t>“</w:t>
            </w:r>
            <w:r>
              <w:rPr>
                <w:rFonts w:eastAsia="Arial" w:cs="Arial"/>
                <w:b w:val="false"/>
                <w:bCs w:val="false"/>
                <w:sz w:val="22"/>
                <w:szCs w:val="22"/>
              </w:rPr>
              <w:t>rights”</w:t>
            </w:r>
          </w:p>
        </w:tc>
        <w:tc>
          <w:tcPr>
            <w:tcW w:w="1800" w:type="dxa"/>
            <w:tcBorders>
              <w:top w:val="single" w:sz="2" w:space="0" w:color="CCCCCC"/>
              <w:left w:val="single" w:sz="2" w:space="0" w:color="CCCCCC"/>
              <w:bottom w:val="single" w:sz="2" w:space="0" w:color="CCCCCC"/>
              <w:right w:val="single" w:sz="2" w:space="0" w:color="CCCCCC"/>
            </w:tcBorders>
          </w:tcPr>
          <w:p>
            <w:pPr>
              <w:pStyle w:val="Normal"/>
              <w:widowControl w:val="false"/>
              <w:ind w:left="0" w:hanging="0"/>
              <w:rPr>
                <w:sz w:val="22"/>
                <w:szCs w:val="22"/>
              </w:rPr>
            </w:pPr>
            <w:r>
              <w:rPr>
                <w:rFonts w:eastAsia="Arial" w:cs="Arial"/>
                <w:b w:val="false"/>
                <w:bCs w:val="false"/>
                <w:sz w:val="22"/>
                <w:szCs w:val="22"/>
              </w:rPr>
              <w:t>0</w:t>
            </w:r>
          </w:p>
        </w:tc>
        <w:tc>
          <w:tcPr>
            <w:tcW w:w="4590" w:type="dxa"/>
            <w:tcBorders>
              <w:top w:val="single" w:sz="2" w:space="0" w:color="CCCCCC"/>
              <w:left w:val="single" w:sz="2" w:space="0" w:color="CCCCCC"/>
              <w:bottom w:val="single" w:sz="2" w:space="0" w:color="CCCCCC"/>
              <w:right w:val="single" w:sz="2" w:space="0" w:color="CCCCCC"/>
            </w:tcBorders>
          </w:tcPr>
          <w:p>
            <w:pPr>
              <w:pStyle w:val="Normal"/>
              <w:widowControl w:val="false"/>
              <w:ind w:left="0" w:hanging="0"/>
              <w:rPr>
                <w:b/>
                <w:b/>
                <w:bCs/>
                <w:sz w:val="20"/>
                <w:szCs w:val="20"/>
              </w:rPr>
            </w:pPr>
            <w:r>
              <w:rPr>
                <w:rFonts w:eastAsia="Arial" w:cs="Arial"/>
                <w:b/>
                <w:bCs/>
                <w:sz w:val="20"/>
                <w:szCs w:val="20"/>
              </w:rPr>
              <w:t>NEVER APPEARS</w:t>
            </w:r>
          </w:p>
        </w:tc>
      </w:tr>
      <w:tr>
        <w:trPr>
          <w:trHeight w:val="403" w:hRule="exact"/>
        </w:trPr>
        <w:tc>
          <w:tcPr>
            <w:tcW w:w="369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ind w:left="0" w:hanging="0"/>
              <w:rPr>
                <w:sz w:val="22"/>
                <w:szCs w:val="22"/>
              </w:rPr>
            </w:pPr>
            <w:r>
              <w:rPr>
                <w:rFonts w:eastAsia="Arial" w:cs="Arial"/>
                <w:b w:val="false"/>
                <w:bCs w:val="false"/>
                <w:sz w:val="22"/>
                <w:szCs w:val="22"/>
              </w:rPr>
              <w:t>“</w:t>
            </w:r>
            <w:r>
              <w:rPr>
                <w:rFonts w:eastAsia="Arial" w:cs="Arial"/>
                <w:b w:val="false"/>
                <w:bCs w:val="false"/>
                <w:sz w:val="22"/>
                <w:szCs w:val="22"/>
              </w:rPr>
              <w:t>constitutional”</w:t>
            </w:r>
          </w:p>
        </w:tc>
        <w:tc>
          <w:tcPr>
            <w:tcW w:w="180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ind w:left="0" w:hanging="0"/>
              <w:rPr>
                <w:sz w:val="22"/>
                <w:szCs w:val="22"/>
              </w:rPr>
            </w:pPr>
            <w:r>
              <w:rPr>
                <w:rFonts w:eastAsia="Arial" w:cs="Arial"/>
                <w:b w:val="false"/>
                <w:bCs w:val="false"/>
                <w:sz w:val="22"/>
                <w:szCs w:val="22"/>
              </w:rPr>
              <w:t>0</w:t>
            </w:r>
          </w:p>
        </w:tc>
        <w:tc>
          <w:tcPr>
            <w:tcW w:w="459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ind w:left="0" w:hanging="0"/>
              <w:rPr>
                <w:b/>
                <w:b/>
                <w:bCs/>
                <w:sz w:val="20"/>
                <w:szCs w:val="20"/>
              </w:rPr>
            </w:pPr>
            <w:r>
              <w:rPr>
                <w:rFonts w:eastAsia="Arial" w:cs="Arial"/>
                <w:b/>
                <w:bCs/>
                <w:sz w:val="20"/>
                <w:szCs w:val="20"/>
              </w:rPr>
              <w:t>NEVER APPEARS</w:t>
            </w:r>
          </w:p>
        </w:tc>
      </w:tr>
    </w:tbl>
    <w:p>
      <w:pPr>
        <w:pStyle w:val="Normal"/>
        <w:spacing w:lineRule="exact" w:line="276" w:before="0" w:after="58"/>
        <w:rPr/>
      </w:pPr>
      <w:r>
        <w:rPr/>
        <w:drawing>
          <wp:anchor behindDoc="0" distT="0" distB="0" distL="0" distR="0" simplePos="0" locked="0" layoutInCell="0" allowOverlap="1" relativeHeight="7">
            <wp:simplePos x="0" y="0"/>
            <wp:positionH relativeFrom="column">
              <wp:posOffset>-53975</wp:posOffset>
            </wp:positionH>
            <wp:positionV relativeFrom="paragraph">
              <wp:posOffset>228600</wp:posOffset>
            </wp:positionV>
            <wp:extent cx="5943600" cy="3684905"/>
            <wp:effectExtent l="0" t="0" r="0" b="0"/>
            <wp:wrapSquare wrapText="largest"/>
            <wp:docPr id="1" name="chart" descr="Forensic analysis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rt" descr="Forensic analysis chart"/>
                    <pic:cNvPicPr>
                      <a:picLocks noChangeAspect="1" noChangeArrowheads="1"/>
                    </pic:cNvPicPr>
                  </pic:nvPicPr>
                  <pic:blipFill>
                    <a:blip r:embed="rId2"/>
                    <a:stretch>
                      <a:fillRect/>
                    </a:stretch>
                  </pic:blipFill>
                  <pic:spPr bwMode="auto">
                    <a:xfrm>
                      <a:off x="0" y="0"/>
                      <a:ext cx="5943600" cy="3684905"/>
                    </a:xfrm>
                    <a:prstGeom prst="rect">
                      <a:avLst/>
                    </a:prstGeom>
                  </pic:spPr>
                </pic:pic>
              </a:graphicData>
            </a:graphic>
          </wp:anchor>
        </w:drawing>
      </w:r>
      <w:r>
        <w:br w:type="page"/>
      </w:r>
    </w:p>
    <w:p>
      <w:pPr>
        <w:pStyle w:val="Heading2"/>
        <w:spacing w:lineRule="exact" w:line="276" w:before="144" w:after="115"/>
        <w:rPr>
          <w:sz w:val="24"/>
          <w:szCs w:val="24"/>
        </w:rPr>
      </w:pPr>
      <w:r>
        <w:rPr>
          <w:rFonts w:eastAsia="Arial" w:cs="Arial" w:ascii="Arial" w:hAnsi="Arial"/>
          <w:b/>
          <w:bCs/>
          <w:i w:val="false"/>
          <w:iCs w:val="false"/>
          <w:sz w:val="24"/>
          <w:szCs w:val="24"/>
        </w:rPr>
        <w:t>METHODS</w:t>
      </w:r>
    </w:p>
    <w:p>
      <w:pPr>
        <w:pStyle w:val="Normal"/>
        <w:spacing w:lineRule="auto" w:line="276" w:before="0" w:after="144"/>
        <w:jc w:val="both"/>
        <w:rPr>
          <w:sz w:val="22"/>
          <w:szCs w:val="22"/>
        </w:rPr>
      </w:pPr>
      <w:r>
        <w:rPr>
          <w:rFonts w:eastAsia="Arial" w:cs="Arial"/>
          <w:b w:val="false"/>
          <w:bCs w:val="false"/>
          <w:i w:val="false"/>
          <w:iCs w:val="false"/>
          <w:sz w:val="22"/>
          <w:szCs w:val="22"/>
        </w:rPr>
        <w:t>All quantitative findings in this report are derived from SELECT-only queries against the MCRO forensic PostgreSQL database (Supabase project ibfmjtwahkwqzcmeyqii, region us-west-2). No data was modified during analysis. Every statistic is reproducible from the SQL queries provided in the Appendix.</w:t>
      </w:r>
    </w:p>
    <w:p>
      <w:pPr>
        <w:pStyle w:val="Normal"/>
        <w:spacing w:lineRule="auto" w:line="276" w:before="0" w:after="144"/>
        <w:jc w:val="left"/>
        <w:rPr>
          <w:sz w:val="22"/>
          <w:szCs w:val="22"/>
        </w:rPr>
      </w:pPr>
      <w:r>
        <w:rPr>
          <w:rFonts w:eastAsia="Arial" w:cs="Arial"/>
          <w:b/>
          <w:bCs/>
          <w:sz w:val="22"/>
          <w:szCs w:val="22"/>
        </w:rPr>
        <w:t xml:space="preserve">Aspose cohort identification: </w:t>
      </w:r>
      <w:r>
        <w:rPr>
          <w:rFonts w:eastAsia="Arial" w:cs="Arial"/>
          <w:sz w:val="22"/>
          <w:szCs w:val="22"/>
        </w:rPr>
        <w:t>Documents were identified by filtering the children.metadata__xmp_producer field for the string “Aspose.” All 27 matching documents share the identical producer string “Aspose.Words for .NET 14.2.0.0; modified using iText® 7.1.16.”</w:t>
      </w:r>
    </w:p>
    <w:p>
      <w:pPr>
        <w:pStyle w:val="Normal"/>
        <w:spacing w:lineRule="auto" w:line="276" w:before="0" w:after="144"/>
        <w:jc w:val="both"/>
        <w:rPr>
          <w:sz w:val="22"/>
          <w:szCs w:val="22"/>
        </w:rPr>
      </w:pPr>
      <w:r>
        <w:rPr>
          <w:rFonts w:eastAsia="Arial" w:cs="Arial"/>
          <w:b/>
          <w:bCs/>
          <w:sz w:val="22"/>
          <w:szCs w:val="22"/>
        </w:rPr>
        <w:t xml:space="preserve">Temporal impossibility determination: </w:t>
      </w:r>
      <w:r>
        <w:rPr>
          <w:rFonts w:eastAsia="Arial" w:cs="Arial"/>
          <w:sz w:val="22"/>
          <w:szCs w:val="22"/>
        </w:rPr>
        <w:t>The Aspose.Words 14.2.0.0 release date (February 2014) was established from Aspose’s public release history. Any document with metadata__xmp_create_date before February 1, 2014 whose producer string identifies Aspose 14.2.0.0 has a temporally impossible creation date.</w:t>
      </w:r>
    </w:p>
    <w:p>
      <w:pPr>
        <w:pStyle w:val="Normal"/>
        <w:spacing w:lineRule="auto" w:line="276" w:before="0" w:after="144"/>
        <w:jc w:val="both"/>
        <w:rPr>
          <w:sz w:val="22"/>
          <w:szCs w:val="22"/>
        </w:rPr>
      </w:pPr>
      <w:r>
        <w:rPr>
          <w:rFonts w:eastAsia="Arial" w:cs="Arial"/>
          <w:b/>
          <w:bCs/>
          <w:sz w:val="22"/>
          <w:szCs w:val="22"/>
        </w:rPr>
        <w:t xml:space="preserve">Frozen timestamp detection: </w:t>
      </w:r>
      <w:r>
        <w:rPr>
          <w:rFonts w:eastAsia="Arial" w:cs="Arial"/>
          <w:sz w:val="22"/>
          <w:szCs w:val="22"/>
        </w:rPr>
        <w:t>Creation dates were truncated to the minute using date_trunc(‘minute’, metadata__xmp_create_date) and grouped. Clusters of 2 or more documents sharing the same truncated creation timestamp were flagged.</w:t>
      </w:r>
    </w:p>
    <w:p>
      <w:pPr>
        <w:pStyle w:val="Normal"/>
        <w:spacing w:lineRule="auto" w:line="276" w:before="0" w:after="144"/>
        <w:jc w:val="both"/>
        <w:rPr>
          <w:sz w:val="22"/>
          <w:szCs w:val="22"/>
        </w:rPr>
      </w:pPr>
      <w:r>
        <w:rPr>
          <w:rFonts w:eastAsia="Arial" w:cs="Arial"/>
          <w:b/>
          <w:bCs/>
          <w:sz w:val="22"/>
          <w:szCs w:val="22"/>
        </w:rPr>
        <w:t xml:space="preserve">Pipeline analysis: </w:t>
      </w:r>
      <w:r>
        <w:rPr>
          <w:rFonts w:eastAsia="Arial" w:cs="Arial"/>
          <w:sz w:val="22"/>
          <w:szCs w:val="22"/>
        </w:rPr>
        <w:t>Defendants with both “Finding of Incompetency and Order” and “Notice of Intent to Prosecute” filing types were identified through JOIN queries on the children table. Cross-dimensional overlap was computed against ESolutions signature, IronPDF, and Rule 20 event populations.</w:t>
      </w:r>
    </w:p>
    <w:p>
      <w:pPr>
        <w:pStyle w:val="Normal"/>
        <w:spacing w:lineRule="auto" w:line="276" w:before="0" w:after="144"/>
        <w:jc w:val="both"/>
        <w:rPr>
          <w:sz w:val="22"/>
          <w:szCs w:val="22"/>
        </w:rPr>
      </w:pPr>
      <w:r>
        <w:rPr>
          <w:rFonts w:eastAsia="Arial" w:cs="Arial"/>
          <w:b/>
          <w:bCs/>
          <w:sz w:val="22"/>
          <w:szCs w:val="22"/>
        </w:rPr>
        <w:t xml:space="preserve">Statutory analysis: </w:t>
      </w:r>
      <w:r>
        <w:rPr>
          <w:rFonts w:eastAsia="Arial" w:cs="Arial"/>
          <w:sz w:val="22"/>
          <w:szCs w:val="22"/>
        </w:rPr>
        <w:t>The full text of MN Statutes 611.40–611.59 was obtained from the Minnesota Revisor of Statutes. Word frequencies were computed from the provided text. All quoted language is verbatim.</w:t>
      </w:r>
    </w:p>
    <w:p>
      <w:pPr>
        <w:pStyle w:val="Normal"/>
        <w:spacing w:lineRule="auto" w:line="276" w:before="0" w:after="144"/>
        <w:jc w:val="both"/>
        <w:rPr>
          <w:sz w:val="22"/>
          <w:szCs w:val="22"/>
        </w:rPr>
      </w:pPr>
      <w:r>
        <w:rPr>
          <w:rFonts w:eastAsia="Arial" w:cs="Arial"/>
          <w:b/>
          <w:bCs/>
          <w:sz w:val="22"/>
          <w:szCs w:val="22"/>
        </w:rPr>
        <w:t xml:space="preserve">Transcript analysis: </w:t>
      </w:r>
      <w:r>
        <w:rPr>
          <w:rFonts w:eastAsia="Arial" w:cs="Arial"/>
          <w:sz w:val="22"/>
          <w:szCs w:val="22"/>
        </w:rPr>
        <w:t>Verbatim excerpts were extracted from JSON-formatted hearing transcripts for case 27-CR-23-1886, recorded on April 29, 2025, October 7, 2025, and November 18, 2025.</w:t>
      </w:r>
    </w:p>
    <w:p>
      <w:pPr>
        <w:pStyle w:val="Normal"/>
        <w:spacing w:lineRule="auto" w:line="276" w:before="0" w:after="86"/>
        <w:jc w:val="left"/>
        <w:rPr>
          <w:sz w:val="22"/>
          <w:szCs w:val="22"/>
        </w:rPr>
      </w:pPr>
      <w:r>
        <w:rPr>
          <w:rFonts w:eastAsia="Arial" w:cs="Arial"/>
          <w:b/>
          <w:bCs/>
          <w:sz w:val="22"/>
          <w:szCs w:val="22"/>
        </w:rPr>
        <w:t xml:space="preserve">Tables and views used: </w:t>
      </w:r>
      <w:r>
        <w:rPr>
          <w:rFonts w:eastAsia="Arial" w:cs="Arial"/>
          <w:sz w:val="22"/>
          <w:szCs w:val="22"/>
        </w:rPr>
        <w:t>children, children_signatures_full_report, children_objects, case_registry, parents_case_events, parents, parents_case_events_judicial_officers, parents_case_events_examiners.</w:t>
      </w:r>
      <w:r>
        <w:br w:type="page"/>
      </w:r>
    </w:p>
    <w:p>
      <w:pPr>
        <w:pStyle w:val="Heading2"/>
        <w:spacing w:lineRule="exact" w:line="276" w:before="86" w:after="115"/>
        <w:rPr>
          <w:sz w:val="24"/>
          <w:szCs w:val="24"/>
        </w:rPr>
      </w:pPr>
      <w:r>
        <w:rPr>
          <w:rFonts w:eastAsia="Arial" w:cs="Arial" w:ascii="Arial" w:hAnsi="Arial"/>
          <w:b/>
          <w:bCs/>
          <w:i w:val="false"/>
          <w:iCs w:val="false"/>
          <w:sz w:val="24"/>
          <w:szCs w:val="24"/>
        </w:rPr>
        <w:t>FINDINGS</w:t>
      </w:r>
    </w:p>
    <w:p>
      <w:pPr>
        <w:pStyle w:val="Heading3"/>
        <w:spacing w:lineRule="exact" w:line="276" w:before="0" w:after="115"/>
        <w:rPr>
          <w:sz w:val="22"/>
          <w:szCs w:val="22"/>
        </w:rPr>
      </w:pPr>
      <w:r>
        <w:rPr>
          <w:rFonts w:eastAsia="Arial" w:cs="Arial" w:ascii="Arial" w:hAnsi="Arial"/>
          <w:b/>
          <w:bCs/>
          <w:i w:val="false"/>
          <w:iCs w:val="false"/>
          <w:sz w:val="22"/>
          <w:szCs w:val="22"/>
        </w:rPr>
        <w:t>Finding 1: The Aspose Software Version Temporal Impossibility</w:t>
      </w:r>
    </w:p>
    <w:p>
      <w:pPr>
        <w:pStyle w:val="Heading4"/>
        <w:spacing w:lineRule="exact" w:line="276" w:before="0" w:after="120"/>
        <w:rPr>
          <w:sz w:val="22"/>
          <w:szCs w:val="22"/>
        </w:rPr>
      </w:pPr>
      <w:r>
        <w:rPr>
          <w:rFonts w:eastAsia="Arial" w:cs="Arial" w:ascii="Arial" w:hAnsi="Arial"/>
          <w:b/>
          <w:bCs/>
          <w:i w:val="false"/>
          <w:iCs w:val="false"/>
          <w:sz w:val="22"/>
          <w:szCs w:val="22"/>
        </w:rPr>
        <w:t>Background</w:t>
      </w:r>
    </w:p>
    <w:p>
      <w:pPr>
        <w:pStyle w:val="Normal"/>
        <w:spacing w:lineRule="exact" w:line="276" w:before="0" w:after="173"/>
        <w:jc w:val="both"/>
        <w:rPr>
          <w:sz w:val="22"/>
          <w:szCs w:val="22"/>
        </w:rPr>
      </w:pPr>
      <w:r>
        <w:rPr>
          <w:rFonts w:eastAsia="Arial" w:cs="Arial"/>
          <w:b w:val="false"/>
          <w:bCs w:val="false"/>
          <w:i w:val="false"/>
          <w:iCs w:val="false"/>
          <w:sz w:val="22"/>
          <w:szCs w:val="22"/>
        </w:rPr>
        <w:t>When Aspose.Words for .NET creates or modifies a document, it embeds its version identifier in the PDF’s XMP producer field. Version 14.2.0.0 uses Aspose’s standard YY.M numbering scheme, where “14.2” designates a February 2014 release. A document carrying this producer string was necessarily created or processed by this software on or after its release date.</w:t>
      </w:r>
    </w:p>
    <w:p>
      <w:pPr>
        <w:pStyle w:val="Heading4"/>
        <w:spacing w:lineRule="exact" w:line="276" w:before="0" w:after="120"/>
        <w:rPr>
          <w:sz w:val="22"/>
          <w:szCs w:val="22"/>
        </w:rPr>
      </w:pPr>
      <w:r>
        <w:rPr>
          <w:rFonts w:eastAsia="Arial" w:cs="Arial" w:ascii="Arial" w:hAnsi="Arial"/>
          <w:b/>
          <w:bCs/>
          <w:i w:val="false"/>
          <w:iCs w:val="false"/>
          <w:sz w:val="22"/>
          <w:szCs w:val="22"/>
        </w:rPr>
        <w:t>Findings</w:t>
      </w:r>
    </w:p>
    <w:p>
      <w:pPr>
        <w:pStyle w:val="Normal"/>
        <w:spacing w:lineRule="exact" w:line="276" w:before="0" w:after="144"/>
        <w:jc w:val="both"/>
        <w:rPr>
          <w:sz w:val="22"/>
          <w:szCs w:val="22"/>
        </w:rPr>
      </w:pPr>
      <w:r>
        <w:rPr>
          <w:rFonts w:eastAsia="Arial" w:cs="Arial"/>
          <w:sz w:val="22"/>
          <w:szCs w:val="22"/>
        </w:rPr>
        <w:t xml:space="preserve">The MCRO corpus contains </w:t>
      </w:r>
      <w:r>
        <w:rPr>
          <w:rFonts w:eastAsia="Arial" w:cs="Arial"/>
          <w:b/>
          <w:bCs/>
          <w:sz w:val="22"/>
          <w:szCs w:val="22"/>
        </w:rPr>
        <w:t>27 documents</w:t>
      </w:r>
      <w:r>
        <w:rPr>
          <w:rFonts w:eastAsia="Arial" w:cs="Arial"/>
          <w:sz w:val="22"/>
          <w:szCs w:val="22"/>
        </w:rPr>
        <w:t xml:space="preserve"> with the Aspose.Words for .NET 14.2.0.0 producer string, spanning </w:t>
      </w:r>
      <w:r>
        <w:rPr>
          <w:rFonts w:eastAsia="Arial" w:cs="Arial"/>
          <w:b/>
          <w:bCs/>
          <w:sz w:val="22"/>
          <w:szCs w:val="22"/>
        </w:rPr>
        <w:t>25 case numbers</w:t>
      </w:r>
      <w:r>
        <w:rPr>
          <w:rFonts w:eastAsia="Arial" w:cs="Arial"/>
          <w:sz w:val="22"/>
          <w:szCs w:val="22"/>
        </w:rPr>
        <w:t xml:space="preserve"> and </w:t>
      </w:r>
      <w:r>
        <w:rPr>
          <w:rFonts w:eastAsia="Arial" w:cs="Arial"/>
          <w:b/>
          <w:bCs/>
          <w:sz w:val="22"/>
          <w:szCs w:val="22"/>
        </w:rPr>
        <w:t>22 distinct defendants</w:t>
      </w:r>
      <w:r>
        <w:rPr>
          <w:rFonts w:eastAsia="Arial" w:cs="Arial"/>
          <w:sz w:val="22"/>
          <w:szCs w:val="22"/>
        </w:rPr>
        <w:t xml:space="preserve"> with </w:t>
      </w:r>
      <w:r>
        <w:rPr>
          <w:rFonts w:eastAsia="Arial" w:cs="Arial"/>
          <w:b/>
          <w:bCs/>
          <w:sz w:val="22"/>
          <w:szCs w:val="22"/>
        </w:rPr>
        <w:t>6 filing types</w:t>
      </w:r>
      <w:r>
        <w:rPr>
          <w:rFonts w:eastAsia="Arial" w:cs="Arial"/>
          <w:sz w:val="22"/>
          <w:szCs w:val="22"/>
        </w:rPr>
        <w:t>. Filing dates range from October 9, 2018 to September 30, 2025. (See Appendix A1.)</w:t>
      </w:r>
    </w:p>
    <w:p>
      <w:pPr>
        <w:pStyle w:val="Normal"/>
        <w:spacing w:lineRule="exact" w:line="276" w:before="0" w:after="317"/>
        <w:jc w:val="both"/>
        <w:rPr>
          <w:sz w:val="22"/>
          <w:szCs w:val="22"/>
        </w:rPr>
      </w:pPr>
      <w:r>
        <w:rPr>
          <w:rFonts w:eastAsia="Arial" w:cs="Arial"/>
          <w:b/>
          <w:bCs/>
          <w:sz w:val="22"/>
          <w:szCs w:val="22"/>
        </w:rPr>
        <w:t>7 of these 27 documents</w:t>
      </w:r>
      <w:r>
        <w:rPr>
          <w:rFonts w:eastAsia="Arial" w:cs="Arial"/>
          <w:sz w:val="22"/>
          <w:szCs w:val="22"/>
        </w:rPr>
        <w:t xml:space="preserve"> have XMP creation dates before February 2014 — the release month of the identified software version. These 7 documents are temporal impossibilities:</w:t>
      </w:r>
    </w:p>
    <w:tbl>
      <w:tblPr>
        <w:tblW w:w="10080" w:type="dxa"/>
        <w:jc w:val="left"/>
        <w:tblInd w:w="-2" w:type="dxa"/>
        <w:tblLayout w:type="fixed"/>
        <w:tblCellMar>
          <w:top w:w="60" w:type="dxa"/>
          <w:left w:w="100" w:type="dxa"/>
          <w:bottom w:w="60" w:type="dxa"/>
          <w:right w:w="100" w:type="dxa"/>
        </w:tblCellMar>
      </w:tblPr>
      <w:tblGrid>
        <w:gridCol w:w="1710"/>
        <w:gridCol w:w="1890"/>
        <w:gridCol w:w="1879"/>
        <w:gridCol w:w="1234"/>
        <w:gridCol w:w="1367"/>
        <w:gridCol w:w="1095"/>
        <w:gridCol w:w="904"/>
      </w:tblGrid>
      <w:tr>
        <w:trPr/>
        <w:tc>
          <w:tcPr>
            <w:tcW w:w="1710" w:type="dxa"/>
            <w:tcBorders>
              <w:top w:val="single" w:sz="2" w:space="0" w:color="CCCCCC"/>
              <w:left w:val="single" w:sz="2" w:space="0" w:color="CCCCCC"/>
              <w:bottom w:val="single" w:sz="2" w:space="0" w:color="CCCCCC"/>
              <w:right w:val="single" w:sz="2" w:space="0" w:color="CCCCCC"/>
            </w:tcBorders>
            <w:shd w:fill="1F3864" w:val="clear"/>
          </w:tcPr>
          <w:p>
            <w:pPr>
              <w:pStyle w:val="Normal"/>
              <w:widowControl w:val="false"/>
              <w:rPr>
                <w:sz w:val="22"/>
                <w:szCs w:val="22"/>
              </w:rPr>
            </w:pPr>
            <w:r>
              <w:rPr>
                <w:rFonts w:eastAsia="Arial" w:cs="Arial"/>
                <w:b/>
                <w:bCs/>
                <w:color w:val="FFFFFF"/>
                <w:sz w:val="22"/>
                <w:szCs w:val="22"/>
              </w:rPr>
              <w:t>Defendant</w:t>
            </w:r>
          </w:p>
        </w:tc>
        <w:tc>
          <w:tcPr>
            <w:tcW w:w="1890" w:type="dxa"/>
            <w:tcBorders>
              <w:top w:val="single" w:sz="2" w:space="0" w:color="CCCCCC"/>
              <w:left w:val="single" w:sz="2" w:space="0" w:color="CCCCCC"/>
              <w:bottom w:val="single" w:sz="2" w:space="0" w:color="CCCCCC"/>
              <w:right w:val="single" w:sz="2" w:space="0" w:color="CCCCCC"/>
            </w:tcBorders>
            <w:shd w:fill="1F3864" w:val="clear"/>
          </w:tcPr>
          <w:p>
            <w:pPr>
              <w:pStyle w:val="Normal"/>
              <w:widowControl w:val="false"/>
              <w:rPr>
                <w:sz w:val="22"/>
                <w:szCs w:val="22"/>
              </w:rPr>
            </w:pPr>
            <w:r>
              <w:rPr>
                <w:rFonts w:eastAsia="Arial" w:cs="Arial"/>
                <w:b/>
                <w:bCs/>
                <w:color w:val="FFFFFF"/>
                <w:sz w:val="22"/>
                <w:szCs w:val="22"/>
              </w:rPr>
              <w:t>Case ID</w:t>
            </w:r>
          </w:p>
        </w:tc>
        <w:tc>
          <w:tcPr>
            <w:tcW w:w="1879" w:type="dxa"/>
            <w:tcBorders>
              <w:top w:val="single" w:sz="2" w:space="0" w:color="CCCCCC"/>
              <w:left w:val="single" w:sz="2" w:space="0" w:color="CCCCCC"/>
              <w:bottom w:val="single" w:sz="2" w:space="0" w:color="CCCCCC"/>
              <w:right w:val="single" w:sz="2" w:space="0" w:color="CCCCCC"/>
            </w:tcBorders>
            <w:shd w:fill="1F3864" w:val="clear"/>
          </w:tcPr>
          <w:p>
            <w:pPr>
              <w:pStyle w:val="Normal"/>
              <w:widowControl w:val="false"/>
              <w:rPr>
                <w:sz w:val="22"/>
                <w:szCs w:val="22"/>
              </w:rPr>
            </w:pPr>
            <w:r>
              <w:rPr>
                <w:rFonts w:eastAsia="Arial" w:cs="Arial"/>
                <w:b/>
                <w:bCs/>
                <w:color w:val="FFFFFF"/>
                <w:sz w:val="22"/>
                <w:szCs w:val="22"/>
              </w:rPr>
              <w:t>Filing Type</w:t>
            </w:r>
          </w:p>
        </w:tc>
        <w:tc>
          <w:tcPr>
            <w:tcW w:w="1234" w:type="dxa"/>
            <w:tcBorders>
              <w:top w:val="single" w:sz="2" w:space="0" w:color="CCCCCC"/>
              <w:left w:val="single" w:sz="2" w:space="0" w:color="CCCCCC"/>
              <w:bottom w:val="single" w:sz="2" w:space="0" w:color="CCCCCC"/>
              <w:right w:val="single" w:sz="2" w:space="0" w:color="CCCCCC"/>
            </w:tcBorders>
            <w:shd w:fill="1F3864" w:val="clear"/>
          </w:tcPr>
          <w:p>
            <w:pPr>
              <w:pStyle w:val="Normal"/>
              <w:widowControl w:val="false"/>
              <w:rPr>
                <w:sz w:val="22"/>
                <w:szCs w:val="22"/>
              </w:rPr>
            </w:pPr>
            <w:r>
              <w:rPr>
                <w:rFonts w:eastAsia="Arial" w:cs="Arial"/>
                <w:b/>
                <w:bCs/>
                <w:color w:val="FFFFFF"/>
                <w:sz w:val="22"/>
                <w:szCs w:val="22"/>
              </w:rPr>
              <w:t>Filing Date</w:t>
            </w:r>
          </w:p>
        </w:tc>
        <w:tc>
          <w:tcPr>
            <w:tcW w:w="1367" w:type="dxa"/>
            <w:tcBorders>
              <w:top w:val="single" w:sz="2" w:space="0" w:color="CCCCCC"/>
              <w:left w:val="single" w:sz="2" w:space="0" w:color="CCCCCC"/>
              <w:bottom w:val="single" w:sz="2" w:space="0" w:color="CCCCCC"/>
              <w:right w:val="single" w:sz="2" w:space="0" w:color="CCCCCC"/>
            </w:tcBorders>
            <w:shd w:fill="1F3864" w:val="clear"/>
          </w:tcPr>
          <w:p>
            <w:pPr>
              <w:pStyle w:val="Normal"/>
              <w:widowControl w:val="false"/>
              <w:rPr>
                <w:sz w:val="22"/>
                <w:szCs w:val="22"/>
              </w:rPr>
            </w:pPr>
            <w:r>
              <w:rPr>
                <w:rFonts w:eastAsia="Arial" w:cs="Arial"/>
                <w:b/>
                <w:bCs/>
                <w:color w:val="FFFFFF"/>
                <w:sz w:val="22"/>
                <w:szCs w:val="22"/>
              </w:rPr>
              <w:t>XMP Create Date</w:t>
            </w:r>
          </w:p>
        </w:tc>
        <w:tc>
          <w:tcPr>
            <w:tcW w:w="1095" w:type="dxa"/>
            <w:tcBorders>
              <w:top w:val="single" w:sz="2" w:space="0" w:color="CCCCCC"/>
              <w:left w:val="single" w:sz="2" w:space="0" w:color="CCCCCC"/>
              <w:bottom w:val="single" w:sz="2" w:space="0" w:color="CCCCCC"/>
              <w:right w:val="single" w:sz="2" w:space="0" w:color="CCCCCC"/>
            </w:tcBorders>
            <w:shd w:fill="1F3864" w:val="clear"/>
          </w:tcPr>
          <w:p>
            <w:pPr>
              <w:pStyle w:val="Normal"/>
              <w:widowControl w:val="false"/>
              <w:rPr>
                <w:sz w:val="22"/>
                <w:szCs w:val="22"/>
              </w:rPr>
            </w:pPr>
            <w:r>
              <w:rPr>
                <w:rFonts w:eastAsia="Arial" w:cs="Arial"/>
                <w:b/>
                <w:bCs/>
                <w:color w:val="FFFFFF"/>
                <w:sz w:val="22"/>
                <w:szCs w:val="22"/>
              </w:rPr>
              <w:t>Days Before Release</w:t>
            </w:r>
          </w:p>
        </w:tc>
        <w:tc>
          <w:tcPr>
            <w:tcW w:w="904" w:type="dxa"/>
            <w:tcBorders>
              <w:top w:val="single" w:sz="2" w:space="0" w:color="CCCCCC"/>
              <w:left w:val="single" w:sz="2" w:space="0" w:color="CCCCCC"/>
              <w:bottom w:val="single" w:sz="2" w:space="0" w:color="CCCCCC"/>
              <w:right w:val="single" w:sz="2" w:space="0" w:color="CCCCCC"/>
            </w:tcBorders>
            <w:shd w:fill="1F3864" w:val="clear"/>
          </w:tcPr>
          <w:p>
            <w:pPr>
              <w:pStyle w:val="Normal"/>
              <w:widowControl w:val="false"/>
              <w:rPr>
                <w:sz w:val="22"/>
                <w:szCs w:val="22"/>
              </w:rPr>
            </w:pPr>
            <w:r>
              <w:rPr>
                <w:rFonts w:eastAsia="Arial" w:cs="Arial"/>
                <w:b/>
                <w:bCs/>
                <w:color w:val="FFFFFF"/>
                <w:sz w:val="22"/>
                <w:szCs w:val="22"/>
              </w:rPr>
              <w:t>Gap (days)</w:t>
            </w:r>
          </w:p>
        </w:tc>
      </w:tr>
      <w:tr>
        <w:trPr>
          <w:trHeight w:val="720" w:hRule="exact"/>
        </w:trPr>
        <w:tc>
          <w:tcPr>
            <w:tcW w:w="171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PRIEST JESUS</w:t>
            </w:r>
          </w:p>
        </w:tc>
        <w:tc>
          <w:tcPr>
            <w:tcW w:w="1890" w:type="dxa"/>
            <w:tcBorders>
              <w:top w:val="single" w:sz="2" w:space="0" w:color="CCCCCC"/>
              <w:left w:val="single" w:sz="2" w:space="0" w:color="CCCCCC"/>
              <w:bottom w:val="single" w:sz="2" w:space="0" w:color="CCCCCC"/>
              <w:right w:val="single" w:sz="2" w:space="0" w:color="CCCCCC"/>
            </w:tcBorders>
          </w:tcPr>
          <w:p>
            <w:pPr>
              <w:pStyle w:val="Normal"/>
              <w:widowControl w:val="false"/>
              <w:rPr/>
            </w:pPr>
            <w:hyperlink r:id="rId3">
              <w:r>
                <w:rPr>
                  <w:rStyle w:val="InternetLink"/>
                  <w:rFonts w:eastAsia="Arial" w:cs="Arial"/>
                  <w:color w:val="000080"/>
                  <w:sz w:val="22"/>
                  <w:szCs w:val="22"/>
                </w:rPr>
                <w:t>27-CR-22-4239</w:t>
              </w:r>
            </w:hyperlink>
          </w:p>
        </w:tc>
        <w:tc>
          <w:tcPr>
            <w:tcW w:w="1879"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Notice of Motion and Motion</w:t>
            </w:r>
          </w:p>
        </w:tc>
        <w:tc>
          <w:tcPr>
            <w:tcW w:w="123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2024-01-08</w:t>
            </w:r>
          </w:p>
        </w:tc>
        <w:tc>
          <w:tcPr>
            <w:tcW w:w="1367"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2013-08-14</w:t>
            </w:r>
          </w:p>
        </w:tc>
        <w:tc>
          <w:tcPr>
            <w:tcW w:w="1095"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168</w:t>
            </w:r>
          </w:p>
        </w:tc>
        <w:tc>
          <w:tcPr>
            <w:tcW w:w="90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3,799</w:t>
            </w:r>
          </w:p>
        </w:tc>
      </w:tr>
      <w:tr>
        <w:trPr>
          <w:trHeight w:val="720" w:hRule="exact"/>
        </w:trPr>
        <w:tc>
          <w:tcPr>
            <w:tcW w:w="171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PRIEST JESUS</w:t>
            </w:r>
          </w:p>
        </w:tc>
        <w:tc>
          <w:tcPr>
            <w:tcW w:w="189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pPr>
            <w:hyperlink r:id="rId4">
              <w:r>
                <w:rPr>
                  <w:rStyle w:val="InternetLink"/>
                  <w:rFonts w:eastAsia="Arial" w:cs="Arial"/>
                  <w:color w:val="000080"/>
                  <w:sz w:val="22"/>
                  <w:szCs w:val="22"/>
                </w:rPr>
                <w:t>27-CR-22-4239</w:t>
              </w:r>
            </w:hyperlink>
          </w:p>
        </w:tc>
        <w:tc>
          <w:tcPr>
            <w:tcW w:w="1879"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Order-Other</w:t>
            </w:r>
          </w:p>
        </w:tc>
        <w:tc>
          <w:tcPr>
            <w:tcW w:w="123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2024-01-09</w:t>
            </w:r>
          </w:p>
        </w:tc>
        <w:tc>
          <w:tcPr>
            <w:tcW w:w="1367"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2013-08-14</w:t>
            </w:r>
          </w:p>
        </w:tc>
        <w:tc>
          <w:tcPr>
            <w:tcW w:w="1095"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168</w:t>
            </w:r>
          </w:p>
        </w:tc>
        <w:tc>
          <w:tcPr>
            <w:tcW w:w="90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3,800</w:t>
            </w:r>
          </w:p>
        </w:tc>
      </w:tr>
      <w:tr>
        <w:trPr>
          <w:trHeight w:val="720" w:hRule="exact"/>
        </w:trPr>
        <w:tc>
          <w:tcPr>
            <w:tcW w:w="171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CASPER VUONG</w:t>
            </w:r>
          </w:p>
        </w:tc>
        <w:tc>
          <w:tcPr>
            <w:tcW w:w="1890" w:type="dxa"/>
            <w:tcBorders>
              <w:top w:val="single" w:sz="2" w:space="0" w:color="CCCCCC"/>
              <w:left w:val="single" w:sz="2" w:space="0" w:color="CCCCCC"/>
              <w:bottom w:val="single" w:sz="2" w:space="0" w:color="CCCCCC"/>
              <w:right w:val="single" w:sz="2" w:space="0" w:color="CCCCCC"/>
            </w:tcBorders>
          </w:tcPr>
          <w:p>
            <w:pPr>
              <w:pStyle w:val="Normal"/>
              <w:widowControl w:val="false"/>
              <w:rPr/>
            </w:pPr>
            <w:hyperlink r:id="rId5">
              <w:r>
                <w:rPr>
                  <w:rStyle w:val="InternetLink"/>
                  <w:rFonts w:eastAsia="Arial" w:cs="Arial"/>
                  <w:color w:val="000080"/>
                  <w:sz w:val="22"/>
                  <w:szCs w:val="22"/>
                </w:rPr>
                <w:t>27-CR-20-23521</w:t>
              </w:r>
            </w:hyperlink>
          </w:p>
        </w:tc>
        <w:tc>
          <w:tcPr>
            <w:tcW w:w="1879"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Dismissal by Prosecuting Atty</w:t>
            </w:r>
          </w:p>
        </w:tc>
        <w:tc>
          <w:tcPr>
            <w:tcW w:w="123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2023-06-13</w:t>
            </w:r>
          </w:p>
        </w:tc>
        <w:tc>
          <w:tcPr>
            <w:tcW w:w="1367"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2013-09-09</w:t>
            </w:r>
          </w:p>
        </w:tc>
        <w:tc>
          <w:tcPr>
            <w:tcW w:w="1095"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144</w:t>
            </w:r>
          </w:p>
        </w:tc>
        <w:tc>
          <w:tcPr>
            <w:tcW w:w="90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3,564</w:t>
            </w:r>
          </w:p>
        </w:tc>
      </w:tr>
      <w:tr>
        <w:trPr>
          <w:trHeight w:val="720" w:hRule="exact"/>
        </w:trPr>
        <w:tc>
          <w:tcPr>
            <w:tcW w:w="171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ABDINOUR ALASOW</w:t>
            </w:r>
          </w:p>
        </w:tc>
        <w:tc>
          <w:tcPr>
            <w:tcW w:w="189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pPr>
            <w:hyperlink r:id="rId6">
              <w:r>
                <w:rPr>
                  <w:rStyle w:val="InternetLink"/>
                  <w:rFonts w:eastAsia="Arial" w:cs="Arial"/>
                  <w:color w:val="000080"/>
                  <w:sz w:val="22"/>
                  <w:szCs w:val="22"/>
                </w:rPr>
                <w:t>27-CR-22-23317</w:t>
              </w:r>
            </w:hyperlink>
          </w:p>
        </w:tc>
        <w:tc>
          <w:tcPr>
            <w:tcW w:w="1879"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Dismissal by Prosecuting Atty</w:t>
            </w:r>
          </w:p>
        </w:tc>
        <w:tc>
          <w:tcPr>
            <w:tcW w:w="123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2023-09-13</w:t>
            </w:r>
          </w:p>
        </w:tc>
        <w:tc>
          <w:tcPr>
            <w:tcW w:w="1367"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2013-09-09</w:t>
            </w:r>
          </w:p>
        </w:tc>
        <w:tc>
          <w:tcPr>
            <w:tcW w:w="1095"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144</w:t>
            </w:r>
          </w:p>
        </w:tc>
        <w:tc>
          <w:tcPr>
            <w:tcW w:w="90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3,656</w:t>
            </w:r>
          </w:p>
        </w:tc>
      </w:tr>
      <w:tr>
        <w:trPr>
          <w:trHeight w:val="720" w:hRule="exact"/>
        </w:trPr>
        <w:tc>
          <w:tcPr>
            <w:tcW w:w="171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MARVAL BARNES</w:t>
            </w:r>
          </w:p>
        </w:tc>
        <w:tc>
          <w:tcPr>
            <w:tcW w:w="1890" w:type="dxa"/>
            <w:tcBorders>
              <w:top w:val="single" w:sz="2" w:space="0" w:color="CCCCCC"/>
              <w:left w:val="single" w:sz="2" w:space="0" w:color="CCCCCC"/>
              <w:bottom w:val="single" w:sz="2" w:space="0" w:color="CCCCCC"/>
              <w:right w:val="single" w:sz="2" w:space="0" w:color="CCCCCC"/>
            </w:tcBorders>
          </w:tcPr>
          <w:p>
            <w:pPr>
              <w:pStyle w:val="Normal"/>
              <w:widowControl w:val="false"/>
              <w:rPr/>
            </w:pPr>
            <w:hyperlink r:id="rId7">
              <w:r>
                <w:rPr>
                  <w:rStyle w:val="InternetLink"/>
                  <w:rFonts w:eastAsia="Arial" w:cs="Arial"/>
                  <w:color w:val="000080"/>
                  <w:sz w:val="22"/>
                  <w:szCs w:val="22"/>
                </w:rPr>
                <w:t>27-CR-21-6229</w:t>
              </w:r>
            </w:hyperlink>
          </w:p>
        </w:tc>
        <w:tc>
          <w:tcPr>
            <w:tcW w:w="1879"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Dismissal by Prosecuting Atty</w:t>
            </w:r>
          </w:p>
        </w:tc>
        <w:tc>
          <w:tcPr>
            <w:tcW w:w="123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2023-09-28</w:t>
            </w:r>
          </w:p>
        </w:tc>
        <w:tc>
          <w:tcPr>
            <w:tcW w:w="1367"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2013-09-09</w:t>
            </w:r>
          </w:p>
        </w:tc>
        <w:tc>
          <w:tcPr>
            <w:tcW w:w="1095"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144</w:t>
            </w:r>
          </w:p>
        </w:tc>
        <w:tc>
          <w:tcPr>
            <w:tcW w:w="90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3,671</w:t>
            </w:r>
          </w:p>
        </w:tc>
      </w:tr>
      <w:tr>
        <w:trPr>
          <w:trHeight w:val="720" w:hRule="exact"/>
        </w:trPr>
        <w:tc>
          <w:tcPr>
            <w:tcW w:w="171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Travis McGIRL</w:t>
            </w:r>
          </w:p>
        </w:tc>
        <w:tc>
          <w:tcPr>
            <w:tcW w:w="189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pPr>
            <w:hyperlink r:id="rId8">
              <w:r>
                <w:rPr>
                  <w:rStyle w:val="InternetLink"/>
                  <w:rFonts w:eastAsia="Arial" w:cs="Arial"/>
                  <w:color w:val="000080"/>
                  <w:sz w:val="22"/>
                  <w:szCs w:val="22"/>
                </w:rPr>
                <w:t>27-CR-20-20866</w:t>
              </w:r>
            </w:hyperlink>
          </w:p>
        </w:tc>
        <w:tc>
          <w:tcPr>
            <w:tcW w:w="1879"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Dismissal by Prosecuting Atty</w:t>
            </w:r>
          </w:p>
        </w:tc>
        <w:tc>
          <w:tcPr>
            <w:tcW w:w="123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2025-09-30</w:t>
            </w:r>
          </w:p>
        </w:tc>
        <w:tc>
          <w:tcPr>
            <w:tcW w:w="1367"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2013-09-09</w:t>
            </w:r>
          </w:p>
        </w:tc>
        <w:tc>
          <w:tcPr>
            <w:tcW w:w="1095"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144</w:t>
            </w:r>
          </w:p>
        </w:tc>
        <w:tc>
          <w:tcPr>
            <w:tcW w:w="90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4,404</w:t>
            </w:r>
          </w:p>
        </w:tc>
      </w:tr>
      <w:tr>
        <w:trPr>
          <w:trHeight w:val="1008" w:hRule="exact"/>
        </w:trPr>
        <w:tc>
          <w:tcPr>
            <w:tcW w:w="171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RASHEED RICHARDSON</w:t>
            </w:r>
          </w:p>
        </w:tc>
        <w:tc>
          <w:tcPr>
            <w:tcW w:w="1890" w:type="dxa"/>
            <w:tcBorders>
              <w:top w:val="single" w:sz="2" w:space="0" w:color="CCCCCC"/>
              <w:left w:val="single" w:sz="2" w:space="0" w:color="CCCCCC"/>
              <w:bottom w:val="single" w:sz="2" w:space="0" w:color="CCCCCC"/>
              <w:right w:val="single" w:sz="2" w:space="0" w:color="CCCCCC"/>
            </w:tcBorders>
          </w:tcPr>
          <w:p>
            <w:pPr>
              <w:pStyle w:val="Normal"/>
              <w:widowControl w:val="false"/>
              <w:rPr/>
            </w:pPr>
            <w:hyperlink r:id="rId9">
              <w:r>
                <w:rPr>
                  <w:rStyle w:val="InternetLink"/>
                  <w:rFonts w:eastAsia="Arial" w:cs="Arial"/>
                  <w:color w:val="000080"/>
                  <w:sz w:val="22"/>
                  <w:szCs w:val="22"/>
                </w:rPr>
                <w:t>27-CR-20-26577</w:t>
              </w:r>
            </w:hyperlink>
          </w:p>
        </w:tc>
        <w:tc>
          <w:tcPr>
            <w:tcW w:w="1879"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Prosecutor’s Notice/Request</w:t>
            </w:r>
          </w:p>
        </w:tc>
        <w:tc>
          <w:tcPr>
            <w:tcW w:w="123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2023-08-22</w:t>
            </w:r>
          </w:p>
        </w:tc>
        <w:tc>
          <w:tcPr>
            <w:tcW w:w="1367"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2013-11-25</w:t>
            </w:r>
          </w:p>
        </w:tc>
        <w:tc>
          <w:tcPr>
            <w:tcW w:w="1095"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67</w:t>
            </w:r>
          </w:p>
        </w:tc>
        <w:tc>
          <w:tcPr>
            <w:tcW w:w="90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3,557</w:t>
            </w:r>
          </w:p>
        </w:tc>
      </w:tr>
    </w:tbl>
    <w:p>
      <w:pPr>
        <w:pStyle w:val="Normal"/>
        <w:spacing w:lineRule="exact" w:line="276" w:before="0" w:after="120"/>
        <w:rPr/>
      </w:pPr>
      <w:r>
        <w:rPr/>
      </w:r>
    </w:p>
    <w:p>
      <w:pPr>
        <w:pStyle w:val="Heading4"/>
        <w:spacing w:lineRule="exact" w:line="276" w:before="0" w:after="115"/>
        <w:rPr>
          <w:sz w:val="24"/>
          <w:szCs w:val="24"/>
        </w:rPr>
      </w:pPr>
      <w:r>
        <w:drawing>
          <wp:anchor behindDoc="0" distT="0" distB="0" distL="0" distR="0" simplePos="0" locked="0" layoutInCell="0" allowOverlap="1" relativeHeight="2">
            <wp:simplePos x="0" y="0"/>
            <wp:positionH relativeFrom="column">
              <wp:posOffset>-8890</wp:posOffset>
            </wp:positionH>
            <wp:positionV relativeFrom="paragraph">
              <wp:posOffset>124460</wp:posOffset>
            </wp:positionV>
            <wp:extent cx="6419215" cy="3849370"/>
            <wp:effectExtent l="0" t="0" r="0" b="0"/>
            <wp:wrapSquare wrapText="largest"/>
            <wp:docPr id="2" name="Image2" descr="Forensic analysis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Forensic analysis chart"/>
                    <pic:cNvPicPr>
                      <a:picLocks noChangeAspect="1" noChangeArrowheads="1"/>
                    </pic:cNvPicPr>
                  </pic:nvPicPr>
                  <pic:blipFill>
                    <a:blip r:embed="rId10"/>
                    <a:stretch>
                      <a:fillRect/>
                    </a:stretch>
                  </pic:blipFill>
                  <pic:spPr bwMode="auto">
                    <a:xfrm>
                      <a:off x="0" y="0"/>
                      <a:ext cx="6419215" cy="3849370"/>
                    </a:xfrm>
                    <a:prstGeom prst="rect">
                      <a:avLst/>
                    </a:prstGeom>
                  </pic:spPr>
                </pic:pic>
              </a:graphicData>
            </a:graphic>
          </wp:anchor>
        </w:drawing>
      </w:r>
      <w:r>
        <w:rPr>
          <w:rFonts w:eastAsia="Arial" w:cs="Arial" w:ascii="Arial" w:hAnsi="Arial"/>
          <w:b/>
          <w:bCs/>
          <w:i w:val="false"/>
          <w:iCs w:val="false"/>
          <w:sz w:val="24"/>
          <w:szCs w:val="24"/>
        </w:rPr>
        <w:t>Significance</w:t>
      </w:r>
    </w:p>
    <w:p>
      <w:pPr>
        <w:pStyle w:val="Normal"/>
        <w:spacing w:lineRule="auto" w:line="276" w:before="0" w:after="346"/>
        <w:jc w:val="both"/>
        <w:rPr>
          <w:sz w:val="22"/>
          <w:szCs w:val="22"/>
        </w:rPr>
      </w:pPr>
      <w:r>
        <w:rPr>
          <w:rFonts w:eastAsia="Arial" w:cs="Arial"/>
          <w:b w:val="false"/>
          <w:bCs w:val="false"/>
          <w:i w:val="false"/>
          <w:iCs w:val="false"/>
          <w:sz w:val="22"/>
          <w:szCs w:val="22"/>
        </w:rPr>
        <w:t>A document cannot be created by software that does not yet exist. These 7 creation dates are not edge cases, rounding errors, or timezone discrepancies. The earliest (August 14, 2013) precedes the software release by 168 days. The document was filed in January 2024 — 3,799 days after its claimed creation date. No benign explanation — clock drift, template reuse, timezone error — accounts for pre-release creation dates, because all such explanations presuppose the existence of the software at the time of creation.</w:t>
      </w:r>
    </w:p>
    <w:p>
      <w:pPr>
        <w:pStyle w:val="Heading4"/>
        <w:spacing w:lineRule="exact" w:line="276" w:before="0" w:after="115"/>
        <w:rPr>
          <w:sz w:val="24"/>
          <w:szCs w:val="24"/>
        </w:rPr>
      </w:pPr>
      <w:r>
        <w:rPr>
          <w:rFonts w:eastAsia="Arial" w:cs="Arial" w:ascii="Arial" w:hAnsi="Arial"/>
          <w:b/>
          <w:bCs/>
          <w:i w:val="false"/>
          <w:iCs w:val="false"/>
          <w:sz w:val="24"/>
          <w:szCs w:val="24"/>
        </w:rPr>
        <w:t>Connecting Context</w:t>
      </w:r>
    </w:p>
    <w:p>
      <w:pPr>
        <w:pStyle w:val="Normal"/>
        <w:spacing w:lineRule="auto" w:line="276" w:before="0" w:after="120"/>
        <w:jc w:val="both"/>
        <w:rPr>
          <w:sz w:val="22"/>
          <w:szCs w:val="22"/>
        </w:rPr>
      </w:pPr>
      <w:r>
        <w:rPr>
          <w:rFonts w:eastAsia="Arial" w:cs="Arial"/>
          <w:b w:val="false"/>
          <w:bCs w:val="false"/>
          <w:i w:val="false"/>
          <w:iCs w:val="false"/>
          <w:sz w:val="22"/>
          <w:szCs w:val="22"/>
        </w:rPr>
        <w:t>This finding establishes the foundational forensic fact: the creation dates in the Aspose cohort are fabricated. This fact underpins all subsequent findings. The significance of Findings 2–3 depends on this: if the timestamps are genuine, the frozen clusters are coincidences; if fabricated, they reveal batch-processing patterns operating at industrial scale.</w:t>
      </w:r>
      <w:r>
        <w:br w:type="page"/>
      </w:r>
    </w:p>
    <w:p>
      <w:pPr>
        <w:pStyle w:val="Heading3"/>
        <w:spacing w:lineRule="exact" w:line="276" w:before="115" w:after="144"/>
        <w:rPr>
          <w:sz w:val="24"/>
          <w:szCs w:val="24"/>
        </w:rPr>
      </w:pPr>
      <w:r>
        <w:rPr>
          <w:rFonts w:eastAsia="Arial" w:cs="Arial" w:ascii="Arial" w:hAnsi="Arial"/>
          <w:b/>
          <w:bCs/>
          <w:i w:val="false"/>
          <w:iCs w:val="false"/>
          <w:sz w:val="24"/>
          <w:szCs w:val="24"/>
        </w:rPr>
        <w:t>Finding 2: The Frozen Fabrication Clock — 17 Identical Timestamps Across 2.9 Years</w:t>
      </w:r>
    </w:p>
    <w:p>
      <w:pPr>
        <w:pStyle w:val="Heading4"/>
        <w:spacing w:lineRule="exact" w:line="276" w:before="0" w:after="86"/>
        <w:rPr>
          <w:sz w:val="24"/>
          <w:szCs w:val="24"/>
        </w:rPr>
      </w:pPr>
      <w:r>
        <w:rPr>
          <w:rFonts w:eastAsia="Arial" w:cs="Arial" w:ascii="Arial" w:hAnsi="Arial"/>
          <w:b/>
          <w:bCs/>
          <w:i w:val="false"/>
          <w:iCs w:val="false"/>
          <w:sz w:val="24"/>
          <w:szCs w:val="24"/>
        </w:rPr>
        <w:t>Background</w:t>
      </w:r>
    </w:p>
    <w:p>
      <w:pPr>
        <w:pStyle w:val="Normal"/>
        <w:spacing w:lineRule="auto" w:line="276" w:before="0" w:after="144"/>
        <w:jc w:val="both"/>
        <w:rPr>
          <w:sz w:val="22"/>
          <w:szCs w:val="22"/>
        </w:rPr>
      </w:pPr>
      <w:r>
        <w:rPr>
          <w:rFonts w:eastAsia="Arial" w:cs="Arial"/>
          <w:b w:val="false"/>
          <w:bCs w:val="false"/>
          <w:i w:val="false"/>
          <w:iCs w:val="false"/>
          <w:sz w:val="22"/>
          <w:szCs w:val="22"/>
        </w:rPr>
        <w:t>When documents are created individually — as a “Notice of Intent to Prosecute” would be, since each names a specific defendant and represents a specific prosecutorial decision — their creation timestamps reflect the distinct moments of their creation. Identical creation timestamps across multiple documents for different defendants indicate batch processing, template reuse, or automated generation.</w:t>
      </w:r>
    </w:p>
    <w:p>
      <w:pPr>
        <w:pStyle w:val="Heading4"/>
        <w:spacing w:lineRule="exact" w:line="276" w:before="0" w:after="86"/>
        <w:rPr>
          <w:sz w:val="24"/>
          <w:szCs w:val="24"/>
        </w:rPr>
      </w:pPr>
      <w:r>
        <w:rPr>
          <w:rFonts w:eastAsia="Arial" w:cs="Arial" w:ascii="Arial" w:hAnsi="Arial"/>
          <w:b/>
          <w:bCs/>
          <w:i w:val="false"/>
          <w:iCs w:val="false"/>
          <w:sz w:val="24"/>
          <w:szCs w:val="24"/>
        </w:rPr>
        <w:t>Findings</w:t>
      </w:r>
    </w:p>
    <w:p>
      <w:pPr>
        <w:pStyle w:val="Normal"/>
        <w:spacing w:lineRule="auto" w:line="276" w:before="0" w:after="144"/>
        <w:jc w:val="both"/>
        <w:rPr>
          <w:sz w:val="22"/>
          <w:szCs w:val="22"/>
        </w:rPr>
      </w:pPr>
      <w:r>
        <w:rPr>
          <w:rFonts w:eastAsia="Arial" w:cs="Arial"/>
          <w:b w:val="false"/>
          <w:bCs w:val="false"/>
          <w:i w:val="false"/>
          <w:iCs w:val="false"/>
          <w:sz w:val="22"/>
          <w:szCs w:val="22"/>
        </w:rPr>
        <w:t>The 27 Aspose documents cluster into 3 frozen timestamp groups (documents sharing a creation timestamp to the minute) plus 4 singletons (see Appendix A2):</w:t>
      </w:r>
    </w:p>
    <w:tbl>
      <w:tblPr>
        <w:tblW w:w="10080" w:type="dxa"/>
        <w:jc w:val="left"/>
        <w:tblInd w:w="-2" w:type="dxa"/>
        <w:tblLayout w:type="fixed"/>
        <w:tblCellMar>
          <w:top w:w="60" w:type="dxa"/>
          <w:left w:w="100" w:type="dxa"/>
          <w:bottom w:w="60" w:type="dxa"/>
          <w:right w:w="100" w:type="dxa"/>
        </w:tblCellMar>
      </w:tblPr>
      <w:tblGrid>
        <w:gridCol w:w="2877"/>
        <w:gridCol w:w="1447"/>
        <w:gridCol w:w="1431"/>
        <w:gridCol w:w="900"/>
        <w:gridCol w:w="1991"/>
        <w:gridCol w:w="1433"/>
      </w:tblGrid>
      <w:tr>
        <w:trPr>
          <w:trHeight w:val="461" w:hRule="exact"/>
        </w:trPr>
        <w:tc>
          <w:tcPr>
            <w:tcW w:w="2877"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rPr>
                <w:sz w:val="22"/>
                <w:szCs w:val="22"/>
              </w:rPr>
            </w:pPr>
            <w:r>
              <w:rPr>
                <w:rFonts w:eastAsia="Arial" w:cs="Arial"/>
                <w:b/>
                <w:bCs/>
                <w:color w:val="FFFFFF"/>
                <w:sz w:val="22"/>
                <w:szCs w:val="22"/>
              </w:rPr>
              <w:t>Frozen Timestamp (UTC)</w:t>
            </w:r>
          </w:p>
        </w:tc>
        <w:tc>
          <w:tcPr>
            <w:tcW w:w="1447"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rPr>
                <w:sz w:val="22"/>
                <w:szCs w:val="22"/>
              </w:rPr>
            </w:pPr>
            <w:r>
              <w:rPr>
                <w:rFonts w:eastAsia="Arial" w:cs="Arial"/>
                <w:b/>
                <w:bCs/>
                <w:color w:val="FFFFFF"/>
                <w:sz w:val="22"/>
                <w:szCs w:val="22"/>
              </w:rPr>
              <w:t>Documents</w:t>
            </w:r>
          </w:p>
        </w:tc>
        <w:tc>
          <w:tcPr>
            <w:tcW w:w="1431"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rPr>
                <w:sz w:val="22"/>
                <w:szCs w:val="22"/>
              </w:rPr>
            </w:pPr>
            <w:r>
              <w:rPr>
                <w:rFonts w:eastAsia="Arial" w:cs="Arial"/>
                <w:b/>
                <w:bCs/>
                <w:color w:val="FFFFFF"/>
                <w:sz w:val="22"/>
                <w:szCs w:val="22"/>
              </w:rPr>
              <w:t>Defendants</w:t>
            </w:r>
          </w:p>
        </w:tc>
        <w:tc>
          <w:tcPr>
            <w:tcW w:w="900"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rPr>
                <w:sz w:val="22"/>
                <w:szCs w:val="22"/>
              </w:rPr>
            </w:pPr>
            <w:r>
              <w:rPr>
                <w:rFonts w:eastAsia="Arial" w:cs="Arial"/>
                <w:b/>
                <w:bCs/>
                <w:color w:val="FFFFFF"/>
                <w:sz w:val="22"/>
                <w:szCs w:val="22"/>
              </w:rPr>
              <w:t>Cases</w:t>
            </w:r>
          </w:p>
        </w:tc>
        <w:tc>
          <w:tcPr>
            <w:tcW w:w="1991"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rPr>
                <w:sz w:val="22"/>
                <w:szCs w:val="22"/>
              </w:rPr>
            </w:pPr>
            <w:r>
              <w:rPr>
                <w:rFonts w:eastAsia="Arial" w:cs="Arial"/>
                <w:b/>
                <w:bCs/>
                <w:color w:val="FFFFFF"/>
                <w:sz w:val="22"/>
                <w:szCs w:val="22"/>
              </w:rPr>
              <w:t>Filing Types</w:t>
            </w:r>
          </w:p>
        </w:tc>
        <w:tc>
          <w:tcPr>
            <w:tcW w:w="1433"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rPr>
                <w:sz w:val="22"/>
                <w:szCs w:val="22"/>
              </w:rPr>
            </w:pPr>
            <w:r>
              <w:rPr>
                <w:rFonts w:eastAsia="Arial" w:cs="Arial"/>
                <w:b/>
                <w:bCs/>
                <w:color w:val="FFFFFF"/>
                <w:sz w:val="22"/>
                <w:szCs w:val="22"/>
              </w:rPr>
              <w:t>Filing Span</w:t>
            </w:r>
          </w:p>
        </w:tc>
      </w:tr>
      <w:tr>
        <w:trPr/>
        <w:tc>
          <w:tcPr>
            <w:tcW w:w="2877"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2013-08-14 20:45</w:t>
            </w:r>
          </w:p>
        </w:tc>
        <w:tc>
          <w:tcPr>
            <w:tcW w:w="1447"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w:t>
            </w:r>
          </w:p>
        </w:tc>
        <w:tc>
          <w:tcPr>
            <w:tcW w:w="1431"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1</w:t>
            </w:r>
          </w:p>
        </w:tc>
        <w:tc>
          <w:tcPr>
            <w:tcW w:w="90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1</w:t>
            </w:r>
          </w:p>
        </w:tc>
        <w:tc>
          <w:tcPr>
            <w:tcW w:w="1991"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Motion, Order</w:t>
            </w:r>
          </w:p>
        </w:tc>
        <w:tc>
          <w:tcPr>
            <w:tcW w:w="1433"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1 day</w:t>
            </w:r>
          </w:p>
        </w:tc>
      </w:tr>
      <w:tr>
        <w:trPr/>
        <w:tc>
          <w:tcPr>
            <w:tcW w:w="2877"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2013-09-09 13:50</w:t>
            </w:r>
          </w:p>
        </w:tc>
        <w:tc>
          <w:tcPr>
            <w:tcW w:w="1447"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4</w:t>
            </w:r>
          </w:p>
        </w:tc>
        <w:tc>
          <w:tcPr>
            <w:tcW w:w="1431"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4</w:t>
            </w:r>
          </w:p>
        </w:tc>
        <w:tc>
          <w:tcPr>
            <w:tcW w:w="90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4</w:t>
            </w:r>
          </w:p>
        </w:tc>
        <w:tc>
          <w:tcPr>
            <w:tcW w:w="1991"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Dismissal by Prosecuting Atty</w:t>
            </w:r>
          </w:p>
        </w:tc>
        <w:tc>
          <w:tcPr>
            <w:tcW w:w="1433"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840 days</w:t>
            </w:r>
          </w:p>
        </w:tc>
      </w:tr>
      <w:tr>
        <w:trPr/>
        <w:tc>
          <w:tcPr>
            <w:tcW w:w="2877"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2019-02-26 15:05</w:t>
            </w:r>
          </w:p>
        </w:tc>
        <w:tc>
          <w:tcPr>
            <w:tcW w:w="1447"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17</w:t>
            </w:r>
          </w:p>
        </w:tc>
        <w:tc>
          <w:tcPr>
            <w:tcW w:w="1431"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14</w:t>
            </w:r>
          </w:p>
        </w:tc>
        <w:tc>
          <w:tcPr>
            <w:tcW w:w="90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17</w:t>
            </w:r>
          </w:p>
        </w:tc>
        <w:tc>
          <w:tcPr>
            <w:tcW w:w="1991"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Notice of Intent to Prosecute</w:t>
            </w:r>
          </w:p>
        </w:tc>
        <w:tc>
          <w:tcPr>
            <w:tcW w:w="1433"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1,056 days</w:t>
            </w:r>
          </w:p>
        </w:tc>
      </w:tr>
    </w:tbl>
    <w:p>
      <w:pPr>
        <w:pStyle w:val="Normal"/>
        <w:spacing w:lineRule="auto" w:line="276" w:before="202" w:after="115"/>
        <w:jc w:val="both"/>
        <w:rPr>
          <w:sz w:val="22"/>
          <w:szCs w:val="22"/>
        </w:rPr>
      </w:pPr>
      <w:r>
        <w:rPr>
          <w:rFonts w:eastAsia="Arial" w:cs="Arial"/>
          <w:b/>
          <w:bCs/>
          <w:sz w:val="22"/>
          <w:szCs w:val="22"/>
        </w:rPr>
        <w:t xml:space="preserve">Cluster 3 is the critical finding: </w:t>
      </w:r>
      <w:r>
        <w:rPr>
          <w:rFonts w:eastAsia="Arial" w:cs="Arial"/>
          <w:sz w:val="22"/>
          <w:szCs w:val="22"/>
        </w:rPr>
        <w:t>17 “Notice of Intent to Prosecute” filings for 14 different defendants, filed across a span of 1,056 days (April 13, 2021 to March 4, 2024), all claim to have been “created” at the same instant: February 26, 2019 at 3:05 PM UTC.</w:t>
      </w:r>
    </w:p>
    <w:p>
      <w:pPr>
        <w:pStyle w:val="Normal"/>
        <w:spacing w:lineRule="auto" w:line="276" w:before="0" w:after="120"/>
        <w:jc w:val="both"/>
        <w:rPr>
          <w:sz w:val="22"/>
          <w:szCs w:val="22"/>
        </w:rPr>
      </w:pPr>
      <w:r>
        <w:rPr>
          <w:rFonts w:eastAsia="Arial" w:cs="Arial"/>
          <w:b w:val="false"/>
          <w:bCs w:val="false"/>
          <w:i w:val="false"/>
          <w:iCs w:val="false"/>
          <w:sz w:val="22"/>
          <w:szCs w:val="22"/>
        </w:rPr>
        <w:t>These are not generic forms. Each “Notice of Intent to Prosecute” names a specific defendant. Each represents a specific prosecutorial decision about a specific person’s liberty. 17 such decisions, for 14 different human beings, across nearly 3 years, all share one fabricated creation timestamp.</w:t>
      </w:r>
    </w:p>
    <w:p>
      <w:pPr>
        <w:pStyle w:val="Normal"/>
        <w:spacing w:lineRule="exact" w:line="276" w:before="0" w:after="120"/>
        <w:rPr/>
      </w:pPr>
      <w:r>
        <w:rPr/>
        <w:drawing>
          <wp:anchor behindDoc="0" distT="0" distB="0" distL="0" distR="0" simplePos="0" locked="0" layoutInCell="0" allowOverlap="1" relativeHeight="3">
            <wp:simplePos x="0" y="0"/>
            <wp:positionH relativeFrom="column">
              <wp:align>center</wp:align>
            </wp:positionH>
            <wp:positionV relativeFrom="paragraph">
              <wp:posOffset>34290</wp:posOffset>
            </wp:positionV>
            <wp:extent cx="5179060" cy="3625215"/>
            <wp:effectExtent l="0" t="0" r="0" b="0"/>
            <wp:wrapSquare wrapText="largest"/>
            <wp:docPr id="3" name="Image3" descr="Forensic analysis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Forensic analysis chart"/>
                    <pic:cNvPicPr>
                      <a:picLocks noChangeAspect="1" noChangeArrowheads="1"/>
                    </pic:cNvPicPr>
                  </pic:nvPicPr>
                  <pic:blipFill>
                    <a:blip r:embed="rId11"/>
                    <a:stretch>
                      <a:fillRect/>
                    </a:stretch>
                  </pic:blipFill>
                  <pic:spPr bwMode="auto">
                    <a:xfrm>
                      <a:off x="0" y="0"/>
                      <a:ext cx="5179060" cy="3625215"/>
                    </a:xfrm>
                    <a:prstGeom prst="rect">
                      <a:avLst/>
                    </a:prstGeom>
                  </pic:spPr>
                </pic:pic>
              </a:graphicData>
            </a:graphic>
          </wp:anchor>
        </w:drawing>
      </w:r>
    </w:p>
    <w:p>
      <w:pPr>
        <w:pStyle w:val="Normal"/>
        <w:spacing w:before="100" w:after="200"/>
        <w:jc w:val="center"/>
        <w:rPr/>
      </w:pPr>
      <w:r>
        <w:rPr/>
      </w:r>
    </w:p>
    <w:p>
      <w:pPr>
        <w:pStyle w:val="Heading4"/>
        <w:spacing w:lineRule="exact" w:line="276" w:before="0" w:after="120"/>
        <w:rPr>
          <w:sz w:val="22"/>
          <w:szCs w:val="22"/>
        </w:rPr>
      </w:pPr>
      <w:r>
        <w:rPr>
          <w:rFonts w:eastAsia="Arial" w:cs="Arial" w:ascii="Arial" w:hAnsi="Arial"/>
          <w:b/>
          <w:bCs/>
          <w:i w:val="false"/>
          <w:iCs w:val="false"/>
          <w:sz w:val="22"/>
          <w:szCs w:val="22"/>
        </w:rPr>
        <w:t>Significance</w:t>
      </w:r>
    </w:p>
    <w:p>
      <w:pPr>
        <w:pStyle w:val="Normal"/>
        <w:spacing w:lineRule="auto" w:line="276" w:before="0" w:after="120"/>
        <w:jc w:val="both"/>
        <w:rPr>
          <w:sz w:val="22"/>
          <w:szCs w:val="22"/>
        </w:rPr>
      </w:pPr>
      <w:r>
        <w:rPr>
          <w:rFonts w:eastAsia="Arial" w:cs="Arial"/>
          <w:b w:val="false"/>
          <w:bCs w:val="false"/>
          <w:i w:val="false"/>
          <w:iCs w:val="false"/>
          <w:sz w:val="22"/>
          <w:szCs w:val="22"/>
        </w:rPr>
        <w:t>The frozen timestamp pattern is consistent with batch-generated documents produced from a template at a single point in time, then filed individually over subsequent years as needed. Combined with the pre-release impossibility (Finding 1), which establishes that the creation dates are fabricated, Cluster 3 demonstrates that the document type preventing charge dismissal and enabling indefinite prosecution was produced through automated batch processing.</w:t>
      </w:r>
    </w:p>
    <w:p>
      <w:pPr>
        <w:pStyle w:val="Heading4"/>
        <w:spacing w:lineRule="exact" w:line="276" w:before="0" w:after="120"/>
        <w:rPr>
          <w:sz w:val="22"/>
          <w:szCs w:val="22"/>
        </w:rPr>
      </w:pPr>
      <w:r>
        <w:rPr>
          <w:rFonts w:eastAsia="Arial" w:cs="Arial" w:ascii="Arial" w:hAnsi="Arial"/>
          <w:b/>
          <w:bCs/>
          <w:i w:val="false"/>
          <w:iCs w:val="false"/>
          <w:sz w:val="22"/>
          <w:szCs w:val="22"/>
        </w:rPr>
        <w:t>Connecting Context</w:t>
      </w:r>
    </w:p>
    <w:p>
      <w:pPr>
        <w:pStyle w:val="Normal"/>
        <w:spacing w:lineRule="auto" w:line="276" w:before="0" w:after="120"/>
        <w:jc w:val="both"/>
        <w:rPr>
          <w:sz w:val="22"/>
          <w:szCs w:val="22"/>
        </w:rPr>
      </w:pPr>
      <w:r>
        <w:rPr>
          <w:rFonts w:eastAsia="Arial" w:cs="Arial"/>
          <w:b w:val="false"/>
          <w:bCs w:val="false"/>
          <w:i w:val="false"/>
          <w:iCs w:val="false"/>
          <w:sz w:val="22"/>
          <w:szCs w:val="22"/>
        </w:rPr>
        <w:t>Finding 3 establishes the legal significance of “Notice of Intent to Prosecute” under Minnesota statute. Finding 4 documents a recorded statement confirming that this filing type enables indefinite prosecution. Together, they form a chain: fabricated creation dates (Finding 1) → batch-produced documents (Finding 2) → the statutory mechanism that prevents charge dismissal (Finding 3) → confirmed indefinite prosecution capability (Finding 4).</w:t>
      </w:r>
      <w:r>
        <w:br w:type="page"/>
      </w:r>
    </w:p>
    <w:p>
      <w:pPr>
        <w:pStyle w:val="Heading3"/>
        <w:spacing w:lineRule="exact" w:line="276" w:before="86" w:after="115"/>
        <w:rPr>
          <w:sz w:val="24"/>
          <w:szCs w:val="24"/>
        </w:rPr>
      </w:pPr>
      <w:r>
        <w:rPr>
          <w:rFonts w:eastAsia="Arial" w:cs="Arial" w:ascii="Arial" w:hAnsi="Arial"/>
          <w:b/>
          <w:bCs/>
          <w:i w:val="false"/>
          <w:iCs w:val="false"/>
          <w:sz w:val="24"/>
          <w:szCs w:val="24"/>
        </w:rPr>
        <w:t>Finding 3: The Filing Type That Controls Freedom — “Notice of Intent to Prosecute” Under MN 611.45</w:t>
      </w:r>
    </w:p>
    <w:p>
      <w:pPr>
        <w:pStyle w:val="Heading4"/>
        <w:spacing w:lineRule="exact" w:line="276" w:before="0" w:after="86"/>
        <w:rPr>
          <w:sz w:val="22"/>
          <w:szCs w:val="22"/>
        </w:rPr>
      </w:pPr>
      <w:r>
        <w:rPr>
          <w:rFonts w:eastAsia="Arial" w:cs="Arial" w:ascii="Arial" w:hAnsi="Arial"/>
          <w:b/>
          <w:bCs/>
          <w:i w:val="false"/>
          <w:iCs w:val="false"/>
          <w:sz w:val="22"/>
          <w:szCs w:val="22"/>
        </w:rPr>
        <w:t>Background</w:t>
      </w:r>
    </w:p>
    <w:p>
      <w:pPr>
        <w:pStyle w:val="Normal"/>
        <w:spacing w:lineRule="exact" w:line="276" w:before="0" w:after="144"/>
        <w:jc w:val="both"/>
        <w:rPr>
          <w:sz w:val="22"/>
          <w:szCs w:val="22"/>
        </w:rPr>
      </w:pPr>
      <w:r>
        <w:rPr>
          <w:rFonts w:eastAsia="Arial" w:cs="Arial"/>
          <w:b w:val="false"/>
          <w:bCs w:val="false"/>
          <w:i w:val="false"/>
          <w:iCs w:val="false"/>
          <w:sz w:val="22"/>
          <w:szCs w:val="22"/>
        </w:rPr>
        <w:t>This finding requires no SQL queries. It is a statutory analysis establishing the legal significance of the specific filing type that dominates the Aspose cohort.</w:t>
      </w:r>
    </w:p>
    <w:p>
      <w:pPr>
        <w:pStyle w:val="Heading4"/>
        <w:spacing w:lineRule="exact" w:line="276" w:before="0" w:after="86"/>
        <w:rPr>
          <w:sz w:val="22"/>
          <w:szCs w:val="22"/>
        </w:rPr>
      </w:pPr>
      <w:r>
        <w:rPr>
          <w:rFonts w:eastAsia="Arial" w:cs="Arial" w:ascii="Arial" w:hAnsi="Arial"/>
          <w:b/>
          <w:bCs/>
          <w:i w:val="false"/>
          <w:iCs w:val="false"/>
          <w:sz w:val="22"/>
          <w:szCs w:val="22"/>
        </w:rPr>
        <w:t>Findings</w:t>
      </w:r>
    </w:p>
    <w:p>
      <w:pPr>
        <w:pStyle w:val="Normal"/>
        <w:spacing w:lineRule="exact" w:line="276" w:before="0" w:after="120"/>
        <w:jc w:val="both"/>
        <w:rPr>
          <w:sz w:val="22"/>
          <w:szCs w:val="22"/>
        </w:rPr>
      </w:pPr>
      <w:r>
        <w:rPr>
          <w:rFonts w:eastAsia="Arial" w:cs="Arial"/>
          <w:b w:val="false"/>
          <w:bCs w:val="false"/>
          <w:i w:val="false"/>
          <w:iCs w:val="false"/>
          <w:sz w:val="22"/>
          <w:szCs w:val="22"/>
        </w:rPr>
        <w:t>18 of 27 Aspose documents (66.7%) are “Notice of Intent to Prosecute” filings. This filing type is defined by MN 611.45, Subdivision 3, as the document the prosecutor must file to prevent automatic charge dismissal when a defendant is found incompetent.</w:t>
      </w:r>
    </w:p>
    <w:p>
      <w:pPr>
        <w:pStyle w:val="Normal"/>
        <w:spacing w:lineRule="exact" w:line="276" w:before="0" w:after="58"/>
        <w:rPr/>
      </w:pPr>
      <w:r>
        <w:drawing>
          <wp:anchor behindDoc="0" distT="0" distB="0" distL="0" distR="0" simplePos="0" locked="0" layoutInCell="0" allowOverlap="1" relativeHeight="4">
            <wp:simplePos x="0" y="0"/>
            <wp:positionH relativeFrom="column">
              <wp:align>center</wp:align>
            </wp:positionH>
            <wp:positionV relativeFrom="paragraph">
              <wp:posOffset>-18415</wp:posOffset>
            </wp:positionV>
            <wp:extent cx="6400800" cy="3877310"/>
            <wp:effectExtent l="0" t="0" r="0" b="0"/>
            <wp:wrapSquare wrapText="largest"/>
            <wp:docPr id="4" name="Image4" descr="Forensic analysis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Forensic analysis chart"/>
                    <pic:cNvPicPr>
                      <a:picLocks noChangeAspect="1" noChangeArrowheads="1"/>
                    </pic:cNvPicPr>
                  </pic:nvPicPr>
                  <pic:blipFill>
                    <a:blip r:embed="rId12"/>
                    <a:stretch>
                      <a:fillRect/>
                    </a:stretch>
                  </pic:blipFill>
                  <pic:spPr bwMode="auto">
                    <a:xfrm>
                      <a:off x="0" y="0"/>
                      <a:ext cx="6400800" cy="3877310"/>
                    </a:xfrm>
                    <a:prstGeom prst="rect">
                      <a:avLst/>
                    </a:prstGeom>
                  </pic:spPr>
                </pic:pic>
              </a:graphicData>
            </a:graphic>
          </wp:anchor>
        </w:drawing>
      </w:r>
      <w:r>
        <w:rPr>
          <w:rFonts w:eastAsia="Arial" w:cs="Arial"/>
          <w:b/>
          <w:bCs/>
          <w:sz w:val="22"/>
          <w:szCs w:val="22"/>
        </w:rPr>
        <w:t xml:space="preserve">The statutory framework: </w:t>
      </w:r>
      <w:r>
        <w:rPr>
          <w:rFonts w:eastAsia="Arial" w:cs="Arial"/>
          <w:sz w:val="22"/>
          <w:szCs w:val="22"/>
        </w:rPr>
        <w:t>Without a “Notice of Intent to Prosecute,” charges must be dismissed. With one:</w:t>
      </w:r>
    </w:p>
    <w:p>
      <w:pPr>
        <w:pStyle w:val="Normal"/>
        <w:spacing w:lineRule="exact" w:line="276" w:before="0" w:after="120"/>
        <w:ind w:left="720" w:hanging="0"/>
        <w:rPr>
          <w:sz w:val="22"/>
          <w:szCs w:val="22"/>
        </w:rPr>
      </w:pPr>
      <w:r>
        <w:rPr>
          <w:rFonts w:eastAsia="Arial" w:cs="Arial"/>
          <w:b w:val="false"/>
          <w:bCs w:val="false"/>
          <w:i w:val="false"/>
          <w:iCs w:val="false"/>
          <w:sz w:val="22"/>
          <w:szCs w:val="22"/>
        </w:rPr>
        <w:t xml:space="preserve">•  </w:t>
      </w:r>
      <w:r>
        <w:rPr>
          <w:rFonts w:eastAsia="Arial" w:cs="Arial"/>
          <w:b w:val="false"/>
          <w:bCs w:val="false"/>
          <w:i w:val="false"/>
          <w:iCs w:val="false"/>
          <w:sz w:val="22"/>
          <w:szCs w:val="22"/>
        </w:rPr>
        <w:t>Targeted misdemeanors: prosecution extends up to 1 year</w:t>
      </w:r>
    </w:p>
    <w:p>
      <w:pPr>
        <w:pStyle w:val="Normal"/>
        <w:spacing w:lineRule="exact" w:line="276" w:before="0" w:after="120"/>
        <w:ind w:left="720" w:hanging="0"/>
        <w:rPr>
          <w:sz w:val="22"/>
          <w:szCs w:val="22"/>
        </w:rPr>
      </w:pPr>
      <w:r>
        <w:rPr>
          <w:rFonts w:eastAsia="Arial" w:cs="Arial"/>
          <w:b w:val="false"/>
          <w:bCs w:val="false"/>
          <w:i w:val="false"/>
          <w:iCs w:val="false"/>
          <w:sz w:val="22"/>
          <w:szCs w:val="22"/>
        </w:rPr>
        <w:t xml:space="preserve">•  </w:t>
      </w:r>
      <w:r>
        <w:rPr>
          <w:rFonts w:eastAsia="Arial" w:cs="Arial"/>
          <w:b w:val="false"/>
          <w:bCs w:val="false"/>
          <w:i w:val="false"/>
          <w:iCs w:val="false"/>
          <w:sz w:val="22"/>
          <w:szCs w:val="22"/>
        </w:rPr>
        <w:t>Gross misdemeanors: prosecution extends up to 2 years</w:t>
      </w:r>
    </w:p>
    <w:p>
      <w:pPr>
        <w:pStyle w:val="Normal"/>
        <w:spacing w:lineRule="exact" w:line="276" w:before="0" w:after="120"/>
        <w:ind w:left="720" w:hanging="0"/>
        <w:rPr>
          <w:sz w:val="22"/>
          <w:szCs w:val="22"/>
        </w:rPr>
      </w:pPr>
      <w:r>
        <w:rPr>
          <w:rFonts w:eastAsia="Arial" w:cs="Arial"/>
          <w:b w:val="false"/>
          <w:bCs w:val="false"/>
          <w:i w:val="false"/>
          <w:iCs w:val="false"/>
          <w:sz w:val="22"/>
          <w:szCs w:val="22"/>
        </w:rPr>
        <w:t xml:space="preserve">•  </w:t>
      </w:r>
      <w:r>
        <w:rPr>
          <w:rFonts w:eastAsia="Arial" w:cs="Arial"/>
          <w:b w:val="false"/>
          <w:bCs w:val="false"/>
          <w:i w:val="false"/>
          <w:iCs w:val="false"/>
          <w:sz w:val="22"/>
          <w:szCs w:val="22"/>
        </w:rPr>
        <w:t>Felonies: prosecution extends up to 5–10 years</w:t>
      </w:r>
    </w:p>
    <w:p>
      <w:pPr>
        <w:pStyle w:val="Normal"/>
        <w:spacing w:lineRule="exact" w:line="276" w:before="0" w:after="202"/>
        <w:ind w:left="720" w:hanging="0"/>
        <w:rPr>
          <w:sz w:val="22"/>
          <w:szCs w:val="22"/>
        </w:rPr>
      </w:pPr>
      <w:r>
        <w:rPr>
          <w:rFonts w:eastAsia="Arial" w:cs="Arial"/>
          <w:b w:val="false"/>
          <w:bCs w:val="false"/>
          <w:i w:val="false"/>
          <w:iCs w:val="false"/>
          <w:sz w:val="22"/>
          <w:szCs w:val="22"/>
        </w:rPr>
        <w:t xml:space="preserve">•  </w:t>
      </w:r>
      <w:r>
        <w:rPr>
          <w:rFonts w:eastAsia="Arial" w:cs="Arial"/>
          <w:b w:val="false"/>
          <w:bCs w:val="false"/>
          <w:i w:val="false"/>
          <w:iCs w:val="false"/>
          <w:sz w:val="22"/>
          <w:szCs w:val="22"/>
        </w:rPr>
        <w:t>Felonies with continued supervision (611.49): dismissal requirement eliminated entirely</w:t>
      </w:r>
    </w:p>
    <w:p>
      <w:pPr>
        <w:pStyle w:val="Heading4"/>
        <w:spacing w:lineRule="exact" w:line="276" w:before="0" w:after="120"/>
        <w:rPr>
          <w:sz w:val="22"/>
          <w:szCs w:val="22"/>
        </w:rPr>
      </w:pPr>
      <w:r>
        <w:rPr>
          <w:rFonts w:eastAsia="Arial" w:cs="Arial" w:ascii="Arial" w:hAnsi="Arial"/>
          <w:b/>
          <w:bCs/>
          <w:i w:val="false"/>
          <w:iCs w:val="false"/>
          <w:sz w:val="22"/>
          <w:szCs w:val="22"/>
        </w:rPr>
        <w:t>Significance</w:t>
      </w:r>
    </w:p>
    <w:p>
      <w:pPr>
        <w:pStyle w:val="Normal"/>
        <w:spacing w:lineRule="auto" w:line="276" w:before="0" w:after="120"/>
        <w:jc w:val="both"/>
        <w:rPr>
          <w:sz w:val="22"/>
          <w:szCs w:val="22"/>
        </w:rPr>
      </w:pPr>
      <w:r>
        <w:rPr>
          <w:rFonts w:eastAsia="Arial" w:cs="Arial"/>
          <w:b/>
          <w:bCs/>
          <w:sz w:val="22"/>
          <w:szCs w:val="22"/>
        </w:rPr>
        <w:t xml:space="preserve">18 of these levers </w:t>
      </w:r>
      <w:r>
        <w:rPr>
          <w:rFonts w:eastAsia="Arial" w:cs="Arial"/>
          <w:sz w:val="22"/>
          <w:szCs w:val="22"/>
        </w:rPr>
        <w:t>— the documents that prevent charge dismissal and enable indefinite prosecution — carry fabricated creation dates. 17 share the same impossible frozen timestamp. They were filed for 15 different defendants across nearly 3 years. And they were produced by software that did not exist at their claimed creation date.</w:t>
      </w:r>
    </w:p>
    <w:p>
      <w:pPr>
        <w:pStyle w:val="Heading4"/>
        <w:spacing w:lineRule="exact" w:line="276" w:before="0" w:after="120"/>
        <w:rPr>
          <w:sz w:val="22"/>
          <w:szCs w:val="22"/>
        </w:rPr>
      </w:pPr>
      <w:r>
        <w:rPr>
          <w:rFonts w:eastAsia="Arial" w:cs="Arial" w:ascii="Arial" w:hAnsi="Arial"/>
          <w:b/>
          <w:bCs/>
          <w:i w:val="false"/>
          <w:iCs w:val="false"/>
          <w:sz w:val="22"/>
          <w:szCs w:val="22"/>
        </w:rPr>
        <w:t>Connecting Context</w:t>
      </w:r>
    </w:p>
    <w:p>
      <w:pPr>
        <w:pStyle w:val="Normal"/>
        <w:spacing w:lineRule="auto" w:line="276" w:before="0" w:after="230"/>
        <w:jc w:val="both"/>
        <w:rPr>
          <w:sz w:val="22"/>
          <w:szCs w:val="22"/>
        </w:rPr>
      </w:pPr>
      <w:r>
        <w:rPr>
          <w:rFonts w:eastAsia="Arial" w:cs="Arial"/>
          <w:b w:val="false"/>
          <w:bCs w:val="false"/>
          <w:i w:val="false"/>
          <w:iCs w:val="false"/>
          <w:sz w:val="22"/>
          <w:szCs w:val="22"/>
        </w:rPr>
        <w:t>The Aspose cohort is not randomly distributed across filing types. It is concentrated in the single filing type that serves as the statutory gateway to indefinite state control over defendants found incompetent. 18 of 27 documents (66.7%) are this one type. The next most frequent type (Dismissal by Prosecuting Attorney) accounts for only 4 of 27 (14.8%).</w:t>
      </w:r>
    </w:p>
    <w:p>
      <w:pPr>
        <w:pStyle w:val="Heading3"/>
        <w:spacing w:before="158" w:after="29"/>
        <w:rPr>
          <w:color w:val="1F3864"/>
        </w:rPr>
      </w:pPr>
      <w:r>
        <w:rPr>
          <w:color w:val="1F3864"/>
        </w:rPr>
        <w:t xml:space="preserve">Finding 4: The Recorded Statement — “They Can Do It </w:t>
      </w:r>
      <w:r>
        <w:rPr>
          <w:i/>
          <w:iCs/>
          <w:color w:val="1F3864"/>
        </w:rPr>
        <w:t>Indefinitely</w:t>
      </w:r>
      <w:r>
        <w:rPr>
          <w:color w:val="1F3864"/>
        </w:rPr>
        <w:t>”</w:t>
      </w:r>
    </w:p>
    <w:p>
      <w:pPr>
        <w:pStyle w:val="Normal"/>
        <w:spacing w:lineRule="auto" w:line="276" w:before="173" w:after="58"/>
        <w:jc w:val="both"/>
        <w:rPr>
          <w:sz w:val="22"/>
          <w:szCs w:val="22"/>
        </w:rPr>
      </w:pPr>
      <w:r>
        <w:rPr>
          <w:rFonts w:eastAsia="Arial" w:cs="Arial"/>
          <w:b/>
          <w:bCs/>
          <w:i w:val="false"/>
          <w:iCs w:val="false"/>
          <w:sz w:val="22"/>
          <w:szCs w:val="22"/>
        </w:rPr>
        <w:t>Background</w:t>
      </w:r>
    </w:p>
    <w:p>
      <w:pPr>
        <w:pStyle w:val="Normal"/>
        <w:spacing w:lineRule="exact" w:line="276" w:before="0" w:after="120"/>
        <w:jc w:val="both"/>
        <w:rPr>
          <w:sz w:val="22"/>
          <w:szCs w:val="22"/>
        </w:rPr>
      </w:pPr>
      <w:r>
        <w:rPr>
          <w:rFonts w:eastAsia="Arial" w:cs="Arial"/>
          <w:b w:val="false"/>
          <w:bCs w:val="false"/>
          <w:i w:val="false"/>
          <w:iCs w:val="false"/>
          <w:sz w:val="22"/>
          <w:szCs w:val="22"/>
        </w:rPr>
        <w:t>The following exchange was recorded during a hearing in case 27-CR-23-1886 (State v. Guertin) on October 7, 2025, before Court Referee Lori Skibbie. Defense counsel Raissa Carpenter was speaking to defendant Matthew Guertin about the Rule 20 process.</w:t>
      </w:r>
    </w:p>
    <w:p>
      <w:pPr>
        <w:pStyle w:val="Heading4"/>
        <w:spacing w:lineRule="exact" w:line="276" w:before="230" w:after="144"/>
        <w:rPr>
          <w:sz w:val="22"/>
          <w:szCs w:val="22"/>
        </w:rPr>
      </w:pPr>
      <w:r>
        <w:rPr>
          <w:rFonts w:eastAsia="Arial" w:cs="Arial" w:ascii="Arial" w:hAnsi="Arial"/>
          <w:b/>
          <w:bCs/>
          <w:i w:val="false"/>
          <w:iCs w:val="false"/>
          <w:sz w:val="22"/>
          <w:szCs w:val="22"/>
        </w:rPr>
        <w:t>Findings</w:t>
      </w:r>
    </w:p>
    <w:p>
      <w:pPr>
        <w:pStyle w:val="Normal"/>
        <w:spacing w:lineRule="exact" w:line="276" w:before="0" w:after="144"/>
        <w:rPr>
          <w:sz w:val="22"/>
          <w:szCs w:val="22"/>
        </w:rPr>
      </w:pPr>
      <w:r>
        <w:rPr>
          <w:rFonts w:eastAsia="Arial" w:cs="Arial"/>
          <w:b/>
          <w:bCs/>
          <w:sz w:val="22"/>
          <w:szCs w:val="22"/>
        </w:rPr>
        <w:t>Clip 001 — Carpenter to Guertin (October 7, 2025):</w:t>
      </w:r>
    </w:p>
    <w:tbl>
      <w:tblPr>
        <w:tblW w:w="9360" w:type="dxa"/>
        <w:jc w:val="left"/>
        <w:tblInd w:w="535" w:type="dxa"/>
        <w:tblLayout w:type="fixed"/>
        <w:tblCellMar>
          <w:top w:w="120" w:type="dxa"/>
          <w:left w:w="240" w:type="dxa"/>
          <w:bottom w:w="120" w:type="dxa"/>
          <w:right w:w="240" w:type="dxa"/>
        </w:tblCellMar>
      </w:tblPr>
      <w:tblGrid>
        <w:gridCol w:w="9360"/>
      </w:tblGrid>
      <w:tr>
        <w:trPr/>
        <w:tc>
          <w:tcPr>
            <w:tcW w:w="9360" w:type="dxa"/>
            <w:tcBorders>
              <w:top w:val="single" w:sz="4" w:space="0" w:color="1F3864"/>
              <w:left w:val="single" w:sz="4" w:space="0" w:color="1F3864"/>
              <w:bottom w:val="single" w:sz="4" w:space="0" w:color="1F3864"/>
              <w:right w:val="single" w:sz="4" w:space="0" w:color="1F3864"/>
            </w:tcBorders>
            <w:shd w:fill="D5E8F0" w:val="clear"/>
          </w:tcPr>
          <w:p>
            <w:pPr>
              <w:pStyle w:val="Normal"/>
              <w:widowControl w:val="false"/>
              <w:spacing w:lineRule="auto" w:line="276" w:before="86" w:after="29"/>
              <w:jc w:val="both"/>
              <w:rPr>
                <w:sz w:val="22"/>
                <w:szCs w:val="22"/>
              </w:rPr>
            </w:pPr>
            <w:r>
              <w:rPr>
                <w:rFonts w:eastAsia="Arial" w:cs="Arial"/>
                <w:b/>
                <w:bCs/>
                <w:sz w:val="22"/>
                <w:szCs w:val="22"/>
              </w:rPr>
              <w:t>GUERTIN:</w:t>
            </w:r>
            <w:r>
              <w:rPr>
                <w:rFonts w:eastAsia="Arial" w:cs="Arial"/>
                <w:i/>
                <w:iCs/>
                <w:sz w:val="22"/>
                <w:szCs w:val="22"/>
              </w:rPr>
              <w:t xml:space="preserve"> “How long does this shit go on for? Like how...when does this end?”</w:t>
            </w:r>
          </w:p>
          <w:p>
            <w:pPr>
              <w:pStyle w:val="Normal"/>
              <w:widowControl w:val="false"/>
              <w:spacing w:lineRule="auto" w:line="276" w:before="202" w:after="29"/>
              <w:jc w:val="both"/>
              <w:rPr>
                <w:sz w:val="22"/>
                <w:szCs w:val="22"/>
              </w:rPr>
            </w:pPr>
            <w:r>
              <w:rPr>
                <w:rFonts w:eastAsia="Arial" w:cs="Arial"/>
                <w:b/>
                <w:bCs/>
                <w:sz w:val="22"/>
                <w:szCs w:val="22"/>
              </w:rPr>
              <w:t>CARPENTER:</w:t>
            </w:r>
            <w:r>
              <w:rPr>
                <w:rFonts w:eastAsia="Arial" w:cs="Arial"/>
                <w:i/>
                <w:iCs/>
                <w:sz w:val="22"/>
                <w:szCs w:val="22"/>
              </w:rPr>
              <w:t xml:space="preserve"> “There is for most cases it’s about a three year timeline from when you’re first found not competent unless they file a notice of intent to prosecute you. If they file a notice of intent to continue to prosecute you then they can do it indefinitely until a judge agrees to dismiss it in the interests of justice.”</w:t>
            </w:r>
          </w:p>
        </w:tc>
      </w:tr>
    </w:tbl>
    <w:p>
      <w:pPr>
        <w:pStyle w:val="Normal"/>
        <w:spacing w:lineRule="exact" w:line="276" w:before="202" w:after="86"/>
        <w:rPr/>
      </w:pPr>
      <w:r>
        <w:rPr>
          <w:rFonts w:eastAsia="Arial" w:cs="Arial"/>
          <w:b/>
          <w:bCs/>
          <w:sz w:val="22"/>
          <w:szCs w:val="22"/>
        </w:rPr>
        <w:t>Clip 005 — Guertin’s response (same hearing):</w:t>
      </w:r>
    </w:p>
    <w:p>
      <w:pPr>
        <w:pStyle w:val="Normal"/>
        <w:spacing w:lineRule="auto" w:line="276" w:before="0" w:after="86"/>
        <w:jc w:val="both"/>
        <w:rPr>
          <w:sz w:val="22"/>
          <w:szCs w:val="22"/>
        </w:rPr>
      </w:pPr>
      <w:r>
        <w:rPr>
          <w:rFonts w:eastAsia="Arial" w:cs="Arial"/>
          <w:i/>
          <w:iCs/>
          <w:sz w:val="22"/>
          <w:szCs w:val="22"/>
        </w:rPr>
        <w:t>“</w:t>
      </w:r>
      <w:r>
        <w:rPr>
          <w:rFonts w:eastAsia="Arial" w:cs="Arial"/>
          <w:i/>
          <w:iCs/>
          <w:sz w:val="22"/>
          <w:szCs w:val="22"/>
        </w:rPr>
        <w:t>Yeah, I want the — I have job offers. I have stuff going on. I’m trying to get this shit over with. It’s my entire goal, and it’s never-ending [...] it’s going on 32 months of this shit.” [...] “I just want — I want closure, right? Because that doesn’t seem unreasonable to want to put this behind me and move on with my life.”</w:t>
      </w:r>
    </w:p>
    <w:p>
      <w:pPr>
        <w:pStyle w:val="Normal"/>
        <w:spacing w:lineRule="exact" w:line="276" w:before="230" w:after="86"/>
        <w:rPr>
          <w:sz w:val="22"/>
          <w:szCs w:val="22"/>
        </w:rPr>
      </w:pPr>
      <w:r>
        <w:rPr>
          <w:rFonts w:eastAsia="Arial" w:cs="Arial"/>
          <w:b/>
          <w:bCs/>
          <w:sz w:val="22"/>
          <w:szCs w:val="22"/>
        </w:rPr>
        <w:t>Clip 050 — Judge Hudleston (April 29, 2025), characterizing Guertin’s filings:</w:t>
      </w:r>
    </w:p>
    <w:p>
      <w:pPr>
        <w:pStyle w:val="Normal"/>
        <w:spacing w:lineRule="auto" w:line="276" w:before="0" w:after="86"/>
        <w:jc w:val="both"/>
        <w:rPr>
          <w:sz w:val="22"/>
          <w:szCs w:val="22"/>
        </w:rPr>
      </w:pPr>
      <w:r>
        <w:rPr>
          <w:rFonts w:eastAsia="Arial" w:cs="Arial"/>
          <w:i/>
          <w:iCs/>
          <w:sz w:val="22"/>
          <w:szCs w:val="22"/>
        </w:rPr>
        <w:t>“</w:t>
      </w:r>
      <w:r>
        <w:rPr>
          <w:rFonts w:eastAsia="Arial" w:cs="Arial"/>
          <w:i/>
          <w:iCs/>
          <w:sz w:val="22"/>
          <w:szCs w:val="22"/>
        </w:rPr>
        <w:t>The expressions in the motion to dismiss, again, over 50 pages, have repeated assertions over and over and over and over again citing coordinated campaigns, intentional manipulation of the system to paint you as incompetent to proceed in your criminal case with the motive, I think, apparently being to cover up patent theft.”</w:t>
      </w:r>
    </w:p>
    <w:p>
      <w:pPr>
        <w:pStyle w:val="Normal"/>
        <w:spacing w:lineRule="exact" w:line="276" w:before="230" w:after="86"/>
        <w:rPr>
          <w:sz w:val="22"/>
          <w:szCs w:val="22"/>
        </w:rPr>
      </w:pPr>
      <w:r>
        <w:rPr>
          <w:rFonts w:eastAsia="Arial" w:cs="Arial"/>
          <w:b/>
          <w:bCs/>
          <w:sz w:val="22"/>
          <w:szCs w:val="22"/>
        </w:rPr>
        <w:t>Clips 002–003 — Carpenter to Guertin (November 18, 2025):</w:t>
      </w:r>
    </w:p>
    <w:p>
      <w:pPr>
        <w:pStyle w:val="Normal"/>
        <w:spacing w:lineRule="auto" w:line="276" w:before="0" w:after="86"/>
        <w:jc w:val="both"/>
        <w:rPr>
          <w:sz w:val="22"/>
          <w:szCs w:val="22"/>
        </w:rPr>
      </w:pPr>
      <w:r>
        <w:rPr>
          <w:rFonts w:eastAsia="Arial" w:cs="Arial"/>
          <w:i/>
          <w:iCs/>
          <w:sz w:val="22"/>
          <w:szCs w:val="22"/>
        </w:rPr>
        <w:t>“</w:t>
      </w:r>
      <w:r>
        <w:rPr>
          <w:rFonts w:eastAsia="Arial" w:cs="Arial"/>
          <w:i/>
          <w:iCs/>
          <w:sz w:val="22"/>
          <w:szCs w:val="22"/>
        </w:rPr>
        <w:t>Any of that stuff while you are incompetent [...] we can’t have a substantive legal proceeding while you are found not competent because it has been determined on the record that you don’t have the ability to engage in those things so we can’t do them.”</w:t>
      </w:r>
    </w:p>
    <w:p>
      <w:pPr>
        <w:pStyle w:val="Heading4"/>
        <w:spacing w:lineRule="exact" w:line="276" w:before="317" w:after="86"/>
        <w:rPr>
          <w:sz w:val="22"/>
          <w:szCs w:val="22"/>
        </w:rPr>
      </w:pPr>
      <w:r>
        <w:rPr>
          <w:rFonts w:eastAsia="Arial" w:cs="Arial" w:ascii="Arial" w:hAnsi="Arial"/>
          <w:b/>
          <w:bCs/>
          <w:i w:val="false"/>
          <w:iCs w:val="false"/>
          <w:sz w:val="22"/>
          <w:szCs w:val="22"/>
        </w:rPr>
        <w:t>Significance</w:t>
      </w:r>
    </w:p>
    <w:p>
      <w:pPr>
        <w:pStyle w:val="Normal"/>
        <w:spacing w:lineRule="auto" w:line="276" w:before="0" w:after="86"/>
        <w:jc w:val="both"/>
        <w:rPr>
          <w:sz w:val="22"/>
          <w:szCs w:val="22"/>
        </w:rPr>
      </w:pPr>
      <w:r>
        <w:rPr>
          <w:rFonts w:eastAsia="Arial" w:cs="Arial"/>
          <w:b w:val="false"/>
          <w:bCs w:val="false"/>
          <w:i w:val="false"/>
          <w:iCs w:val="false"/>
          <w:sz w:val="22"/>
          <w:szCs w:val="22"/>
        </w:rPr>
        <w:t>The defendant is told directly by his own attorney that a “Notice of Intent to Prosecute” enables indefinite prosecution. This is the same filing type that constitutes 66.7% of the Aspose-fabricated document cohort. The defendant then attempts to raise concerns about fabricated court records and is told he cannot litigate while declared incompetent — the very status that the fabricated “Notice of Intent to Prosecute” documents serve to perpetuate across the corpus.</w:t>
      </w:r>
    </w:p>
    <w:p>
      <w:pPr>
        <w:pStyle w:val="Heading4"/>
        <w:spacing w:lineRule="exact" w:line="276" w:before="230" w:after="86"/>
        <w:rPr>
          <w:sz w:val="22"/>
          <w:szCs w:val="22"/>
        </w:rPr>
      </w:pPr>
      <w:r>
        <w:rPr>
          <w:rFonts w:eastAsia="Arial" w:cs="Arial" w:ascii="Arial" w:hAnsi="Arial"/>
          <w:b/>
          <w:bCs/>
          <w:i w:val="false"/>
          <w:iCs w:val="false"/>
          <w:sz w:val="22"/>
          <w:szCs w:val="22"/>
        </w:rPr>
        <w:t>Connecting Context</w:t>
      </w:r>
    </w:p>
    <w:p>
      <w:pPr>
        <w:pStyle w:val="Normal"/>
        <w:spacing w:lineRule="auto" w:line="276" w:before="0" w:after="403"/>
        <w:jc w:val="both"/>
        <w:rPr>
          <w:sz w:val="22"/>
          <w:szCs w:val="22"/>
        </w:rPr>
      </w:pPr>
      <w:r>
        <w:rPr>
          <w:rFonts w:eastAsia="Arial" w:cs="Arial"/>
          <w:b w:val="false"/>
          <w:bCs w:val="false"/>
          <w:i w:val="false"/>
          <w:iCs w:val="false"/>
          <w:sz w:val="22"/>
          <w:szCs w:val="22"/>
        </w:rPr>
        <w:t>Finding 5 examines the statute’s circular architecture that makes this dynamic structural rather than incidental. Finding 9 presents the specific timeline of the defendant who discovered these patterns.</w:t>
      </w:r>
    </w:p>
    <w:p>
      <w:pPr>
        <w:pStyle w:val="Heading3"/>
        <w:spacing w:before="158" w:after="259"/>
        <w:rPr/>
      </w:pPr>
      <w:r>
        <w:rPr/>
        <w:t>Finding 5: The Competency Statute’s Circular Architecture</w:t>
      </w:r>
    </w:p>
    <w:p>
      <w:pPr>
        <w:pStyle w:val="Normal"/>
        <w:spacing w:lineRule="auto" w:line="276" w:before="0" w:after="86"/>
        <w:jc w:val="both"/>
        <w:rPr>
          <w:sz w:val="22"/>
          <w:szCs w:val="22"/>
        </w:rPr>
      </w:pPr>
      <w:r>
        <w:rPr>
          <w:rFonts w:eastAsia="Arial" w:cs="Arial"/>
          <w:b/>
          <w:bCs/>
          <w:i w:val="false"/>
          <w:iCs w:val="false"/>
          <w:sz w:val="22"/>
          <w:szCs w:val="22"/>
        </w:rPr>
        <w:t>Background</w:t>
      </w:r>
    </w:p>
    <w:p>
      <w:pPr>
        <w:pStyle w:val="Normal"/>
        <w:spacing w:lineRule="auto" w:line="276" w:before="0" w:after="173"/>
        <w:jc w:val="both"/>
        <w:rPr>
          <w:sz w:val="22"/>
          <w:szCs w:val="22"/>
        </w:rPr>
      </w:pPr>
      <w:r>
        <w:rPr>
          <w:rFonts w:eastAsia="Arial" w:cs="Arial"/>
          <w:b w:val="false"/>
          <w:bCs w:val="false"/>
          <w:i w:val="false"/>
          <w:iCs w:val="false"/>
          <w:sz w:val="22"/>
          <w:szCs w:val="22"/>
        </w:rPr>
        <w:t>This finding examines the structural properties of MN 611.40–611.59 as a self-referencing legal system. It requires no database queries; it is a textual analysis of the statute itself.</w:t>
      </w:r>
    </w:p>
    <w:p>
      <w:pPr>
        <w:pStyle w:val="Heading4"/>
        <w:spacing w:lineRule="exact" w:line="276" w:before="0" w:after="86"/>
        <w:rPr>
          <w:sz w:val="22"/>
          <w:szCs w:val="22"/>
        </w:rPr>
      </w:pPr>
      <w:r>
        <w:rPr>
          <w:rFonts w:eastAsia="Arial" w:cs="Arial" w:ascii="Arial" w:hAnsi="Arial"/>
          <w:b/>
          <w:bCs/>
          <w:i w:val="false"/>
          <w:iCs w:val="false"/>
          <w:sz w:val="22"/>
          <w:szCs w:val="22"/>
        </w:rPr>
        <w:t>Findings</w:t>
      </w:r>
    </w:p>
    <w:p>
      <w:pPr>
        <w:pStyle w:val="Normal"/>
        <w:spacing w:lineRule="auto" w:line="276" w:before="0" w:after="173"/>
        <w:jc w:val="both"/>
        <w:rPr>
          <w:sz w:val="22"/>
          <w:szCs w:val="22"/>
        </w:rPr>
      </w:pPr>
      <w:r>
        <w:rPr>
          <w:rFonts w:eastAsia="Arial" w:cs="Arial"/>
          <w:b w:val="false"/>
          <w:bCs w:val="false"/>
          <w:i w:val="false"/>
          <w:iCs w:val="false"/>
          <w:sz w:val="22"/>
          <w:szCs w:val="22"/>
        </w:rPr>
        <w:t>The statute creates an inescapable procedural loop once activated. The critical features:</w:t>
      </w:r>
    </w:p>
    <w:p>
      <w:pPr>
        <w:pStyle w:val="Normal"/>
        <w:spacing w:lineRule="auto" w:line="276" w:before="0" w:after="173"/>
        <w:jc w:val="both"/>
        <w:rPr>
          <w:sz w:val="22"/>
          <w:szCs w:val="22"/>
        </w:rPr>
      </w:pPr>
      <w:r>
        <w:rPr>
          <w:rFonts w:eastAsia="Arial" w:cs="Arial"/>
          <w:b/>
          <w:bCs/>
          <w:sz w:val="22"/>
          <w:szCs w:val="22"/>
        </w:rPr>
        <w:t xml:space="preserve">Entry is low-barrier: </w:t>
      </w:r>
      <w:r>
        <w:rPr>
          <w:rFonts w:eastAsia="Arial" w:cs="Arial"/>
          <w:sz w:val="22"/>
          <w:szCs w:val="22"/>
        </w:rPr>
        <w:t>Any crime from misdemeanor to felony. Competency can be raised by the court, the prosecutor, or defense counsel. The defendant’s consent is not required (611.42 Subd. 3).</w:t>
      </w:r>
    </w:p>
    <w:p>
      <w:pPr>
        <w:pStyle w:val="Normal"/>
        <w:spacing w:lineRule="auto" w:line="276" w:before="0" w:after="173"/>
        <w:jc w:val="both"/>
        <w:rPr>
          <w:sz w:val="22"/>
          <w:szCs w:val="22"/>
        </w:rPr>
      </w:pPr>
      <w:r>
        <w:rPr>
          <w:rFonts w:eastAsia="Arial" w:cs="Arial"/>
          <w:b/>
          <w:bCs/>
          <w:sz w:val="22"/>
          <w:szCs w:val="22"/>
        </w:rPr>
        <w:t xml:space="preserve">The burden is reversed: </w:t>
      </w:r>
      <w:r>
        <w:rPr>
          <w:rFonts w:eastAsia="Arial" w:cs="Arial"/>
          <w:sz w:val="22"/>
          <w:szCs w:val="22"/>
        </w:rPr>
        <w:t>“The defendant is presumed incompetent unless the court finds by a preponderance of the evidence that the defendant is competent” (611.44 Subd. 4).</w:t>
      </w:r>
    </w:p>
    <w:p>
      <w:pPr>
        <w:pStyle w:val="Normal"/>
        <w:spacing w:lineRule="auto" w:line="276" w:before="0" w:after="173"/>
        <w:jc w:val="both"/>
        <w:rPr>
          <w:sz w:val="22"/>
          <w:szCs w:val="22"/>
        </w:rPr>
      </w:pPr>
      <w:r>
        <w:rPr>
          <w:rFonts w:eastAsia="Arial" w:cs="Arial"/>
          <w:b/>
          <w:bCs/>
          <w:sz w:val="22"/>
          <w:szCs w:val="22"/>
        </w:rPr>
        <w:t xml:space="preserve">Self-representation is blocked: </w:t>
      </w:r>
      <w:r>
        <w:rPr>
          <w:rFonts w:eastAsia="Arial" w:cs="Arial"/>
          <w:sz w:val="22"/>
          <w:szCs w:val="22"/>
        </w:rPr>
        <w:t>“A defendant must not be allowed to waive counsel if the defendant lacks ability to: [...] appreciate the consequences of proceeding without counsel” (611.42 Subd. 2).</w:t>
      </w:r>
    </w:p>
    <w:p>
      <w:pPr>
        <w:pStyle w:val="Normal"/>
        <w:spacing w:lineRule="auto" w:line="276" w:before="0" w:after="173"/>
        <w:jc w:val="both"/>
        <w:rPr>
          <w:sz w:val="22"/>
          <w:szCs w:val="22"/>
        </w:rPr>
      </w:pPr>
      <w:r>
        <w:rPr>
          <w:rFonts w:eastAsia="Arial" w:cs="Arial"/>
          <w:b/>
          <w:bCs/>
          <w:sz w:val="22"/>
          <w:szCs w:val="22"/>
        </w:rPr>
        <w:t xml:space="preserve">Litigation is suspended: </w:t>
      </w:r>
      <w:r>
        <w:rPr>
          <w:rFonts w:eastAsia="Arial" w:cs="Arial"/>
          <w:sz w:val="22"/>
          <w:szCs w:val="22"/>
        </w:rPr>
        <w:t>Criminal proceedings are suspended. The defendant cannot plead, be tried, or be sentenced (611.42 Subd. 1).</w:t>
      </w:r>
    </w:p>
    <w:p>
      <w:pPr>
        <w:pStyle w:val="Normal"/>
        <w:spacing w:lineRule="auto" w:line="276" w:before="0" w:after="173"/>
        <w:jc w:val="both"/>
        <w:rPr>
          <w:sz w:val="22"/>
          <w:szCs w:val="22"/>
        </w:rPr>
      </w:pPr>
      <w:r>
        <w:rPr>
          <w:rFonts w:eastAsia="Arial" w:cs="Arial"/>
          <w:b/>
          <w:bCs/>
          <w:sz w:val="22"/>
          <w:szCs w:val="22"/>
        </w:rPr>
        <w:t xml:space="preserve">The defendant can be excluded: </w:t>
      </w:r>
      <w:r>
        <w:rPr>
          <w:rFonts w:eastAsia="Arial" w:cs="Arial"/>
          <w:sz w:val="22"/>
          <w:szCs w:val="22"/>
        </w:rPr>
        <w:t>“The court [...] may exclude or excuse a defendant who is seriously disruptive, refuses to participate, or who is incapable of comprehending and participating in the proceedings” (611.50 Subd. 3). A medical professional can request that the hearing proceed without the defendant (611.50 Subd. 2).</w:t>
      </w:r>
    </w:p>
    <w:p>
      <w:pPr>
        <w:pStyle w:val="Normal"/>
        <w:spacing w:lineRule="auto" w:line="276" w:before="0" w:after="173"/>
        <w:jc w:val="both"/>
        <w:rPr>
          <w:sz w:val="22"/>
          <w:szCs w:val="22"/>
        </w:rPr>
      </w:pPr>
      <w:r>
        <w:rPr>
          <w:rFonts w:eastAsia="Arial" w:cs="Arial"/>
          <w:b/>
          <w:bCs/>
          <w:sz w:val="22"/>
          <w:szCs w:val="22"/>
        </w:rPr>
        <w:t xml:space="preserve">Forced medication is authorized: </w:t>
      </w:r>
      <w:r>
        <w:rPr>
          <w:rFonts w:eastAsia="Arial" w:cs="Arial"/>
          <w:sz w:val="22"/>
          <w:szCs w:val="22"/>
        </w:rPr>
        <w:t>The court can authorize involuntary neuroleptic medication for renewable one-year terms (611.47). If physical force is required, injectable medications must be used (611.47 Subd. 7).</w:t>
      </w:r>
    </w:p>
    <w:p>
      <w:pPr>
        <w:pStyle w:val="Normal"/>
        <w:spacing w:lineRule="auto" w:line="276" w:before="0" w:after="173"/>
        <w:jc w:val="both"/>
        <w:rPr>
          <w:sz w:val="22"/>
          <w:szCs w:val="22"/>
        </w:rPr>
      </w:pPr>
      <w:r>
        <w:rPr>
          <w:rFonts w:eastAsia="Arial" w:cs="Arial"/>
          <w:b/>
          <w:bCs/>
          <w:sz w:val="22"/>
          <w:szCs w:val="22"/>
        </w:rPr>
        <w:t xml:space="preserve">Cooperation is a trap: </w:t>
      </w:r>
      <w:r>
        <w:rPr>
          <w:rFonts w:eastAsia="Arial" w:cs="Arial"/>
          <w:sz w:val="22"/>
          <w:szCs w:val="22"/>
        </w:rPr>
        <w:t>A defendant’s refusal to cooperate “cannot” be used to find them unlikely to attain competency (611.49 Subd. 1(b)). But cooperation channels them into the medication and programming loop. Neither path leads to exit.</w:t>
      </w:r>
    </w:p>
    <w:p>
      <w:pPr>
        <w:pStyle w:val="Heading4"/>
        <w:spacing w:lineRule="exact" w:line="276" w:before="115" w:after="86"/>
        <w:rPr>
          <w:sz w:val="24"/>
          <w:szCs w:val="24"/>
        </w:rPr>
      </w:pPr>
      <w:r>
        <w:rPr>
          <w:rFonts w:eastAsia="Arial" w:cs="Arial" w:ascii="Arial" w:hAnsi="Arial"/>
          <w:b/>
          <w:bCs/>
          <w:i w:val="false"/>
          <w:iCs w:val="false"/>
          <w:sz w:val="24"/>
          <w:szCs w:val="24"/>
        </w:rPr>
        <w:t>Significance</w:t>
      </w:r>
    </w:p>
    <w:p>
      <w:pPr>
        <w:pStyle w:val="Normal"/>
        <w:spacing w:lineRule="auto" w:line="276" w:before="0" w:after="120"/>
        <w:jc w:val="both"/>
        <w:rPr>
          <w:sz w:val="22"/>
          <w:szCs w:val="22"/>
        </w:rPr>
      </w:pPr>
      <w:r>
        <w:rPr>
          <w:rFonts w:eastAsia="Arial" w:cs="Arial"/>
          <w:b w:val="false"/>
          <w:bCs w:val="false"/>
          <w:i w:val="false"/>
          <w:iCs w:val="false"/>
          <w:sz w:val="22"/>
          <w:szCs w:val="22"/>
        </w:rPr>
        <w:t>The statute contains 59 references to “medication,” 37 to “neuroleptic,” and zero to “rights,” “due process,” or “constitutional.” A 23-page statute governing the suspension of criminal proceedings, forced medication with injectable neuroleptic drugs, and indefinite state supervision of citizens contains no reference to the constitutional protections that such actions implicate.</w:t>
      </w:r>
    </w:p>
    <w:p>
      <w:pPr>
        <w:pStyle w:val="Normal"/>
        <w:spacing w:lineRule="exact" w:line="276" w:before="0" w:after="120"/>
        <w:rPr/>
      </w:pPr>
      <w:r>
        <w:rPr/>
      </w:r>
    </w:p>
    <w:p>
      <w:pPr>
        <w:pStyle w:val="Normal"/>
        <w:spacing w:before="100" w:after="200"/>
        <w:jc w:val="center"/>
        <w:rPr/>
      </w:pPr>
      <w:r>
        <w:rPr/>
        <w:drawing>
          <wp:anchor behindDoc="0" distT="0" distB="0" distL="0" distR="0" simplePos="0" locked="0" layoutInCell="0" allowOverlap="1" relativeHeight="5">
            <wp:simplePos x="0" y="0"/>
            <wp:positionH relativeFrom="column">
              <wp:posOffset>0</wp:posOffset>
            </wp:positionH>
            <wp:positionV relativeFrom="paragraph">
              <wp:posOffset>119380</wp:posOffset>
            </wp:positionV>
            <wp:extent cx="6400800" cy="5779135"/>
            <wp:effectExtent l="0" t="0" r="0" b="0"/>
            <wp:wrapSquare wrapText="largest"/>
            <wp:docPr id="5" name="Image5" descr="Forensic analysis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Forensic analysis chart"/>
                    <pic:cNvPicPr>
                      <a:picLocks noChangeAspect="1" noChangeArrowheads="1"/>
                    </pic:cNvPicPr>
                  </pic:nvPicPr>
                  <pic:blipFill>
                    <a:blip r:embed="rId13"/>
                    <a:srcRect l="4584" t="0" r="7588" b="0"/>
                    <a:stretch>
                      <a:fillRect/>
                    </a:stretch>
                  </pic:blipFill>
                  <pic:spPr bwMode="auto">
                    <a:xfrm>
                      <a:off x="0" y="0"/>
                      <a:ext cx="6400800" cy="5779135"/>
                    </a:xfrm>
                    <a:prstGeom prst="rect">
                      <a:avLst/>
                    </a:prstGeom>
                  </pic:spPr>
                </pic:pic>
              </a:graphicData>
            </a:graphic>
          </wp:anchor>
        </w:drawing>
      </w:r>
      <w:r>
        <w:br w:type="page"/>
      </w:r>
    </w:p>
    <w:p>
      <w:pPr>
        <w:pStyle w:val="Heading3"/>
        <w:spacing w:lineRule="exact" w:line="276" w:before="86" w:after="115"/>
        <w:rPr>
          <w:sz w:val="24"/>
          <w:szCs w:val="24"/>
        </w:rPr>
      </w:pPr>
      <w:r>
        <w:rPr>
          <w:rFonts w:eastAsia="Arial" w:cs="Arial" w:ascii="Arial" w:hAnsi="Arial"/>
          <w:b/>
          <w:bCs/>
          <w:i w:val="false"/>
          <w:iCs w:val="false"/>
          <w:sz w:val="24"/>
          <w:szCs w:val="24"/>
        </w:rPr>
        <w:t>Finding 6: The Pipeline Scale — How Many People This Affects</w:t>
      </w:r>
    </w:p>
    <w:p>
      <w:pPr>
        <w:pStyle w:val="Heading4"/>
        <w:spacing w:lineRule="exact" w:line="276" w:before="202" w:after="86"/>
        <w:rPr>
          <w:sz w:val="22"/>
          <w:szCs w:val="22"/>
        </w:rPr>
      </w:pPr>
      <w:r>
        <w:rPr>
          <w:rFonts w:eastAsia="Arial" w:cs="Arial" w:ascii="Arial" w:hAnsi="Arial"/>
          <w:b/>
          <w:bCs/>
          <w:i w:val="false"/>
          <w:iCs w:val="false"/>
          <w:sz w:val="22"/>
          <w:szCs w:val="22"/>
        </w:rPr>
        <w:t>Background</w:t>
      </w:r>
    </w:p>
    <w:p>
      <w:pPr>
        <w:pStyle w:val="Normal"/>
        <w:spacing w:lineRule="auto" w:line="276" w:before="0" w:after="120"/>
        <w:jc w:val="both"/>
        <w:rPr>
          <w:sz w:val="22"/>
          <w:szCs w:val="22"/>
        </w:rPr>
      </w:pPr>
      <w:r>
        <w:rPr>
          <w:rFonts w:eastAsia="Arial" w:cs="Arial"/>
          <w:b w:val="false"/>
          <w:bCs w:val="false"/>
          <w:i w:val="false"/>
          <w:iCs w:val="false"/>
          <w:sz w:val="22"/>
          <w:szCs w:val="22"/>
        </w:rPr>
        <w:t>Findings 1–5 establish what the “Notice of Intent to Prosecute” is and what is wrong with 18 of them. This finding quantifies how many people the mechanism affects within the MCRO corpus.</w:t>
      </w:r>
    </w:p>
    <w:p>
      <w:pPr>
        <w:pStyle w:val="Heading4"/>
        <w:spacing w:lineRule="exact" w:line="276" w:before="202" w:after="86"/>
        <w:rPr>
          <w:sz w:val="22"/>
          <w:szCs w:val="22"/>
        </w:rPr>
      </w:pPr>
      <w:r>
        <w:rPr>
          <w:rFonts w:eastAsia="Arial" w:cs="Arial" w:ascii="Arial" w:hAnsi="Arial"/>
          <w:b/>
          <w:bCs/>
          <w:i w:val="false"/>
          <w:iCs w:val="false"/>
          <w:sz w:val="22"/>
          <w:szCs w:val="22"/>
        </w:rPr>
        <w:t>Findings</w:t>
      </w:r>
    </w:p>
    <w:p>
      <w:pPr>
        <w:pStyle w:val="Normal"/>
        <w:spacing w:lineRule="auto" w:line="276" w:before="0" w:after="120"/>
        <w:jc w:val="both"/>
        <w:rPr>
          <w:sz w:val="22"/>
          <w:szCs w:val="22"/>
        </w:rPr>
      </w:pPr>
      <w:r>
        <w:rPr>
          <w:rFonts w:eastAsia="Arial" w:cs="Arial"/>
          <w:b/>
          <w:bCs/>
          <w:sz w:val="22"/>
          <w:szCs w:val="22"/>
        </w:rPr>
        <w:t xml:space="preserve">Corpus-wide “Notice of Intent to Prosecute” inventory: </w:t>
      </w:r>
      <w:r>
        <w:rPr>
          <w:rFonts w:eastAsia="Arial" w:cs="Arial"/>
          <w:sz w:val="22"/>
          <w:szCs w:val="22"/>
        </w:rPr>
        <w:t>48 NIP filings exist across the corpus, covering 43 cases and 30 defendants. Filing dates range from February 23, 2017 to March 11, 2024. (See Appendix A7.)</w:t>
      </w:r>
    </w:p>
    <w:p>
      <w:pPr>
        <w:pStyle w:val="Normal"/>
        <w:spacing w:lineRule="auto" w:line="276" w:before="0" w:after="120"/>
        <w:jc w:val="both"/>
        <w:rPr>
          <w:sz w:val="22"/>
          <w:szCs w:val="22"/>
        </w:rPr>
      </w:pPr>
      <w:r>
        <w:rPr>
          <w:rFonts w:eastAsia="Arial" w:cs="Arial"/>
          <w:b/>
          <w:bCs/>
          <w:sz w:val="22"/>
          <w:szCs w:val="22"/>
        </w:rPr>
        <w:t xml:space="preserve">Aspose vs. non-Aspose breakdown: </w:t>
      </w:r>
      <w:r>
        <w:rPr>
          <w:rFonts w:eastAsia="Arial" w:cs="Arial"/>
          <w:sz w:val="22"/>
          <w:szCs w:val="22"/>
        </w:rPr>
        <w:t>Of the 48 NIP filings, 18 (37.5%) carry the Aspose producer string with fabricated creation metadata. These 18 affect 15 defendants across 18 cases. The remaining 30 (62.5%) were produced by non-Aspose tools and affect 16 defendants across 25 cases. (See Appendix A8.)</w:t>
      </w:r>
    </w:p>
    <w:p>
      <w:pPr>
        <w:pStyle w:val="Normal"/>
        <w:spacing w:lineRule="auto" w:line="276" w:before="0" w:after="120"/>
        <w:jc w:val="both"/>
        <w:rPr>
          <w:sz w:val="22"/>
          <w:szCs w:val="22"/>
        </w:rPr>
      </w:pPr>
      <w:r>
        <w:rPr>
          <w:rFonts w:eastAsia="Arial" w:cs="Arial"/>
          <w:b/>
          <w:bCs/>
          <w:sz w:val="22"/>
          <w:szCs w:val="22"/>
        </w:rPr>
        <w:t xml:space="preserve">Incompetency rate: </w:t>
      </w:r>
      <w:r>
        <w:rPr>
          <w:rFonts w:eastAsia="Arial" w:cs="Arial"/>
          <w:sz w:val="22"/>
          <w:szCs w:val="22"/>
        </w:rPr>
        <w:t>Among CR (criminal) cases with documents in the corpus, 131 of 217 (60.4%) have a “Finding of Incompetency and Order” filing. (See Appendix A6.)</w:t>
      </w:r>
    </w:p>
    <w:p>
      <w:pPr>
        <w:pStyle w:val="Normal"/>
        <w:spacing w:lineRule="auto" w:line="276" w:before="0" w:after="173"/>
        <w:jc w:val="both"/>
        <w:rPr>
          <w:sz w:val="22"/>
          <w:szCs w:val="22"/>
        </w:rPr>
      </w:pPr>
      <w:r>
        <w:rPr>
          <w:rFonts w:eastAsia="Arial" w:cs="Arial"/>
          <w:b/>
          <w:bCs/>
          <w:sz w:val="22"/>
          <w:szCs w:val="22"/>
        </w:rPr>
        <w:t xml:space="preserve">Incompetency-to-NIP pipeline: </w:t>
      </w:r>
      <w:r>
        <w:rPr>
          <w:rFonts w:eastAsia="Arial" w:cs="Arial"/>
          <w:sz w:val="22"/>
          <w:szCs w:val="22"/>
        </w:rPr>
        <w:t>23 defendants in the corpus have BOTH a Finding of Incompetency AND a Notice of Intent to Prosecute. For 4 defendants, the NIP and incompetency finding were filed on the same day. For 6 defendants, the NIP actually preceded the formal incompetency finding in the document archive. (See Appendix A9.)</w:t>
      </w:r>
    </w:p>
    <w:p>
      <w:pPr>
        <w:pStyle w:val="Heading4"/>
        <w:spacing w:lineRule="exact" w:line="276" w:before="0" w:after="120"/>
        <w:rPr>
          <w:sz w:val="22"/>
          <w:szCs w:val="22"/>
        </w:rPr>
      </w:pPr>
      <w:r>
        <w:rPr>
          <w:rFonts w:eastAsia="Arial" w:cs="Arial" w:ascii="Arial" w:hAnsi="Arial"/>
          <w:b/>
          <w:bCs/>
          <w:i w:val="false"/>
          <w:iCs w:val="false"/>
          <w:sz w:val="22"/>
          <w:szCs w:val="22"/>
        </w:rPr>
        <w:t>Significance</w:t>
      </w:r>
    </w:p>
    <w:p>
      <w:pPr>
        <w:pStyle w:val="Normal"/>
        <w:spacing w:lineRule="auto" w:line="276" w:before="0" w:after="120"/>
        <w:jc w:val="both"/>
        <w:rPr>
          <w:sz w:val="22"/>
          <w:szCs w:val="22"/>
        </w:rPr>
      </w:pPr>
      <w:r>
        <w:rPr>
          <w:rFonts w:eastAsia="Arial" w:cs="Arial"/>
          <w:b w:val="false"/>
          <w:bCs w:val="false"/>
          <w:i w:val="false"/>
          <w:iCs w:val="false"/>
          <w:sz w:val="22"/>
          <w:szCs w:val="22"/>
        </w:rPr>
        <w:t>37.5% of all “Notice of Intent to Prosecute” filings in the MCRO corpus carry fabricated creation metadata. These are not peripheral documents — they are the statutory mechanism that prevents charge dismissal for defendants found incompetent. For every defendant affected, this document is the difference between freedom and continued prosecution.</w:t>
      </w:r>
      <w:r>
        <w:br w:type="page"/>
      </w:r>
    </w:p>
    <w:p>
      <w:pPr>
        <w:pStyle w:val="Heading3"/>
        <w:spacing w:lineRule="exact" w:line="276" w:before="86" w:after="115"/>
        <w:rPr>
          <w:sz w:val="24"/>
          <w:szCs w:val="24"/>
        </w:rPr>
      </w:pPr>
      <w:r>
        <w:rPr>
          <w:rFonts w:eastAsia="Arial" w:cs="Arial" w:ascii="Arial" w:hAnsi="Arial"/>
          <w:b/>
          <w:bCs/>
          <w:i w:val="false"/>
          <w:iCs w:val="false"/>
          <w:sz w:val="24"/>
          <w:szCs w:val="24"/>
        </w:rPr>
        <w:t>Finding 7: Cross-Dimensional Overlap — The Aspose Defendants in Other Forensic Populations</w:t>
      </w:r>
    </w:p>
    <w:p>
      <w:pPr>
        <w:pStyle w:val="Heading4"/>
        <w:spacing w:lineRule="exact" w:line="276" w:before="202" w:after="115"/>
        <w:rPr>
          <w:sz w:val="22"/>
          <w:szCs w:val="22"/>
        </w:rPr>
      </w:pPr>
      <w:r>
        <w:rPr>
          <w:rFonts w:eastAsia="Arial" w:cs="Arial" w:ascii="Arial" w:hAnsi="Arial"/>
          <w:b/>
          <w:bCs/>
          <w:i w:val="false"/>
          <w:iCs w:val="false"/>
          <w:sz w:val="22"/>
          <w:szCs w:val="22"/>
        </w:rPr>
        <w:t>Background</w:t>
      </w:r>
    </w:p>
    <w:p>
      <w:pPr>
        <w:pStyle w:val="Normal"/>
        <w:spacing w:lineRule="auto" w:line="276" w:before="0" w:after="120"/>
        <w:jc w:val="both"/>
        <w:rPr>
          <w:sz w:val="22"/>
          <w:szCs w:val="22"/>
        </w:rPr>
      </w:pPr>
      <w:r>
        <w:rPr>
          <w:rFonts w:eastAsia="Arial" w:cs="Arial"/>
          <w:b w:val="false"/>
          <w:bCs w:val="false"/>
          <w:i w:val="false"/>
          <w:iCs w:val="false"/>
          <w:sz w:val="22"/>
          <w:szCs w:val="22"/>
        </w:rPr>
        <w:t>Prior MCRO reports have identified multiple independent forensic anomaly populations: ESolutions Development Certificate Authority digital signatures, IronPDF-generated documents, and elevated Rule 20 competency event counts. This finding examines whether the 22 Aspose defendants overlap with these other populations.</w:t>
      </w:r>
    </w:p>
    <w:p>
      <w:pPr>
        <w:pStyle w:val="Heading4"/>
        <w:spacing w:lineRule="exact" w:line="276" w:before="202" w:after="115"/>
        <w:rPr>
          <w:sz w:val="22"/>
          <w:szCs w:val="22"/>
        </w:rPr>
      </w:pPr>
      <w:r>
        <w:rPr>
          <w:rFonts w:eastAsia="Arial" w:cs="Arial" w:ascii="Arial" w:hAnsi="Arial"/>
          <w:b/>
          <w:bCs/>
          <w:i w:val="false"/>
          <w:iCs w:val="false"/>
          <w:sz w:val="22"/>
          <w:szCs w:val="22"/>
        </w:rPr>
        <w:t>Findings</w:t>
      </w:r>
    </w:p>
    <w:tbl>
      <w:tblPr>
        <w:tblW w:w="10080" w:type="dxa"/>
        <w:jc w:val="left"/>
        <w:tblInd w:w="-2" w:type="dxa"/>
        <w:tblLayout w:type="fixed"/>
        <w:tblCellMar>
          <w:top w:w="60" w:type="dxa"/>
          <w:left w:w="100" w:type="dxa"/>
          <w:bottom w:w="60" w:type="dxa"/>
          <w:right w:w="100" w:type="dxa"/>
        </w:tblCellMar>
      </w:tblPr>
      <w:tblGrid>
        <w:gridCol w:w="3014"/>
        <w:gridCol w:w="2155"/>
        <w:gridCol w:w="2584"/>
        <w:gridCol w:w="2326"/>
      </w:tblGrid>
      <w:tr>
        <w:trPr/>
        <w:tc>
          <w:tcPr>
            <w:tcW w:w="3014"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jc w:val="center"/>
              <w:rPr>
                <w:sz w:val="22"/>
                <w:szCs w:val="22"/>
              </w:rPr>
            </w:pPr>
            <w:r>
              <w:rPr>
                <w:rFonts w:eastAsia="Arial" w:cs="Arial"/>
                <w:b/>
                <w:bCs/>
                <w:color w:val="FFFFFF"/>
                <w:sz w:val="22"/>
                <w:szCs w:val="22"/>
              </w:rPr>
              <w:t>Defendant</w:t>
            </w:r>
          </w:p>
        </w:tc>
        <w:tc>
          <w:tcPr>
            <w:tcW w:w="2155"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jc w:val="center"/>
              <w:rPr>
                <w:sz w:val="22"/>
                <w:szCs w:val="22"/>
              </w:rPr>
            </w:pPr>
            <w:r>
              <w:rPr>
                <w:rFonts w:eastAsia="Arial" w:cs="Arial"/>
                <w:b/>
                <w:bCs/>
                <w:color w:val="FFFFFF"/>
                <w:sz w:val="22"/>
                <w:szCs w:val="22"/>
              </w:rPr>
              <w:t>ESolutions Sig</w:t>
            </w:r>
          </w:p>
        </w:tc>
        <w:tc>
          <w:tcPr>
            <w:tcW w:w="2584"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jc w:val="center"/>
              <w:rPr>
                <w:sz w:val="22"/>
                <w:szCs w:val="22"/>
              </w:rPr>
            </w:pPr>
            <w:r>
              <w:rPr>
                <w:rFonts w:eastAsia="Arial" w:cs="Arial"/>
                <w:b/>
                <w:bCs/>
                <w:color w:val="FFFFFF"/>
                <w:sz w:val="22"/>
                <w:szCs w:val="22"/>
              </w:rPr>
              <w:t>Incompetency Order</w:t>
            </w:r>
          </w:p>
        </w:tc>
        <w:tc>
          <w:tcPr>
            <w:tcW w:w="2326" w:type="dxa"/>
            <w:tcBorders>
              <w:top w:val="single" w:sz="2" w:space="0" w:color="CCCCCC"/>
              <w:left w:val="single" w:sz="2" w:space="0" w:color="CCCCCC"/>
              <w:bottom w:val="single" w:sz="2" w:space="0" w:color="CCCCCC"/>
              <w:right w:val="single" w:sz="2" w:space="0" w:color="CCCCCC"/>
            </w:tcBorders>
            <w:shd w:fill="1F3864" w:val="clear"/>
            <w:vAlign w:val="center"/>
          </w:tcPr>
          <w:p>
            <w:pPr>
              <w:pStyle w:val="Normal"/>
              <w:widowControl w:val="false"/>
              <w:jc w:val="center"/>
              <w:rPr>
                <w:sz w:val="22"/>
                <w:szCs w:val="22"/>
              </w:rPr>
            </w:pPr>
            <w:r>
              <w:rPr>
                <w:rFonts w:eastAsia="Arial" w:cs="Arial"/>
                <w:b/>
                <w:bCs/>
                <w:color w:val="FFFFFF"/>
                <w:sz w:val="22"/>
                <w:szCs w:val="22"/>
              </w:rPr>
              <w:t>R20 Events</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ABDINOUR ALASOW</w:t>
            </w:r>
          </w:p>
        </w:tc>
        <w:tc>
          <w:tcPr>
            <w:tcW w:w="2155"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c>
          <w:tcPr>
            <w:tcW w:w="258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c>
          <w:tcPr>
            <w:tcW w:w="2326"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ALEXANDER THOMLEY</w:t>
            </w:r>
          </w:p>
        </w:tc>
        <w:tc>
          <w:tcPr>
            <w:tcW w:w="2155"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sz w:val="22"/>
                <w:szCs w:val="22"/>
              </w:rPr>
            </w:r>
          </w:p>
        </w:tc>
        <w:tc>
          <w:tcPr>
            <w:tcW w:w="258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c>
          <w:tcPr>
            <w:tcW w:w="2326"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BISHARO NOOR</w:t>
            </w:r>
          </w:p>
        </w:tc>
        <w:tc>
          <w:tcPr>
            <w:tcW w:w="2155"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sz w:val="22"/>
                <w:szCs w:val="22"/>
              </w:rPr>
            </w:r>
          </w:p>
        </w:tc>
        <w:tc>
          <w:tcPr>
            <w:tcW w:w="258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c>
          <w:tcPr>
            <w:tcW w:w="2326"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CARMEN GREAVES</w:t>
            </w:r>
          </w:p>
        </w:tc>
        <w:tc>
          <w:tcPr>
            <w:tcW w:w="2155"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c>
          <w:tcPr>
            <w:tcW w:w="258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c>
          <w:tcPr>
            <w:tcW w:w="2326"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CASPER VUONG</w:t>
            </w:r>
          </w:p>
        </w:tc>
        <w:tc>
          <w:tcPr>
            <w:tcW w:w="2155"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sz w:val="22"/>
                <w:szCs w:val="22"/>
              </w:rPr>
            </w:r>
          </w:p>
        </w:tc>
        <w:tc>
          <w:tcPr>
            <w:tcW w:w="258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sz w:val="22"/>
                <w:szCs w:val="22"/>
              </w:rPr>
            </w:r>
          </w:p>
        </w:tc>
        <w:tc>
          <w:tcPr>
            <w:tcW w:w="2326"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DENNIS BARRY</w:t>
            </w:r>
          </w:p>
        </w:tc>
        <w:tc>
          <w:tcPr>
            <w:tcW w:w="2155"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c>
          <w:tcPr>
            <w:tcW w:w="258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c>
          <w:tcPr>
            <w:tcW w:w="2326"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INGRAM OYUGI</w:t>
            </w:r>
          </w:p>
        </w:tc>
        <w:tc>
          <w:tcPr>
            <w:tcW w:w="2155"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sz w:val="22"/>
                <w:szCs w:val="22"/>
              </w:rPr>
            </w:r>
          </w:p>
        </w:tc>
        <w:tc>
          <w:tcPr>
            <w:tcW w:w="258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c>
          <w:tcPr>
            <w:tcW w:w="2326"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ISAAC KELLEY</w:t>
            </w:r>
          </w:p>
        </w:tc>
        <w:tc>
          <w:tcPr>
            <w:tcW w:w="2155"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c>
          <w:tcPr>
            <w:tcW w:w="258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sz w:val="22"/>
                <w:szCs w:val="22"/>
              </w:rPr>
            </w:r>
          </w:p>
        </w:tc>
        <w:tc>
          <w:tcPr>
            <w:tcW w:w="2326"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JALEISHA TAYLOR</w:t>
            </w:r>
          </w:p>
        </w:tc>
        <w:tc>
          <w:tcPr>
            <w:tcW w:w="2155"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c>
          <w:tcPr>
            <w:tcW w:w="258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sz w:val="22"/>
                <w:szCs w:val="22"/>
              </w:rPr>
            </w:r>
          </w:p>
        </w:tc>
        <w:tc>
          <w:tcPr>
            <w:tcW w:w="2326"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JULIET HIGGINS</w:t>
            </w:r>
          </w:p>
        </w:tc>
        <w:tc>
          <w:tcPr>
            <w:tcW w:w="2155"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c>
          <w:tcPr>
            <w:tcW w:w="258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c>
          <w:tcPr>
            <w:tcW w:w="2326"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MAKIS LANE</w:t>
            </w:r>
          </w:p>
        </w:tc>
        <w:tc>
          <w:tcPr>
            <w:tcW w:w="2155"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c>
          <w:tcPr>
            <w:tcW w:w="258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sz w:val="22"/>
                <w:szCs w:val="22"/>
              </w:rPr>
            </w:r>
          </w:p>
        </w:tc>
        <w:tc>
          <w:tcPr>
            <w:tcW w:w="2326"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MARVAL BARNES</w:t>
            </w:r>
          </w:p>
        </w:tc>
        <w:tc>
          <w:tcPr>
            <w:tcW w:w="2155"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c>
          <w:tcPr>
            <w:tcW w:w="258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c>
          <w:tcPr>
            <w:tcW w:w="2326"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MOLLY PRICE</w:t>
            </w:r>
          </w:p>
        </w:tc>
        <w:tc>
          <w:tcPr>
            <w:tcW w:w="2155"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c>
          <w:tcPr>
            <w:tcW w:w="258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c>
          <w:tcPr>
            <w:tcW w:w="2326"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PRIEST JESUS</w:t>
            </w:r>
          </w:p>
        </w:tc>
        <w:tc>
          <w:tcPr>
            <w:tcW w:w="2155"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c>
          <w:tcPr>
            <w:tcW w:w="258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sz w:val="22"/>
                <w:szCs w:val="22"/>
              </w:rPr>
            </w:r>
          </w:p>
        </w:tc>
        <w:tc>
          <w:tcPr>
            <w:tcW w:w="2326"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RAMADAN CAMPBELL</w:t>
            </w:r>
          </w:p>
        </w:tc>
        <w:tc>
          <w:tcPr>
            <w:tcW w:w="2155"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sz w:val="22"/>
                <w:szCs w:val="22"/>
              </w:rPr>
            </w:r>
          </w:p>
        </w:tc>
        <w:tc>
          <w:tcPr>
            <w:tcW w:w="258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sz w:val="22"/>
                <w:szCs w:val="22"/>
              </w:rPr>
            </w:r>
          </w:p>
        </w:tc>
        <w:tc>
          <w:tcPr>
            <w:tcW w:w="2326"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RASHEED RICHARDSON</w:t>
            </w:r>
          </w:p>
        </w:tc>
        <w:tc>
          <w:tcPr>
            <w:tcW w:w="2155"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c>
          <w:tcPr>
            <w:tcW w:w="258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sz w:val="22"/>
                <w:szCs w:val="22"/>
              </w:rPr>
            </w:r>
          </w:p>
        </w:tc>
        <w:tc>
          <w:tcPr>
            <w:tcW w:w="2326"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RODRICK CARPENTER</w:t>
            </w:r>
          </w:p>
        </w:tc>
        <w:tc>
          <w:tcPr>
            <w:tcW w:w="2155"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c>
          <w:tcPr>
            <w:tcW w:w="258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sz w:val="22"/>
                <w:szCs w:val="22"/>
              </w:rPr>
            </w:r>
          </w:p>
        </w:tc>
        <w:tc>
          <w:tcPr>
            <w:tcW w:w="2326"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SANDRA VONGSAPHAY</w:t>
            </w:r>
          </w:p>
        </w:tc>
        <w:tc>
          <w:tcPr>
            <w:tcW w:w="2155"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sz w:val="22"/>
                <w:szCs w:val="22"/>
              </w:rPr>
            </w:r>
          </w:p>
        </w:tc>
        <w:tc>
          <w:tcPr>
            <w:tcW w:w="258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c>
          <w:tcPr>
            <w:tcW w:w="2326"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STEPHONE GAMMAGE</w:t>
            </w:r>
          </w:p>
        </w:tc>
        <w:tc>
          <w:tcPr>
            <w:tcW w:w="2155"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c>
          <w:tcPr>
            <w:tcW w:w="258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c>
          <w:tcPr>
            <w:tcW w:w="2326"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TIA PAYNE</w:t>
            </w:r>
          </w:p>
        </w:tc>
        <w:tc>
          <w:tcPr>
            <w:tcW w:w="2155"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sz w:val="22"/>
                <w:szCs w:val="22"/>
              </w:rPr>
            </w:r>
          </w:p>
        </w:tc>
        <w:tc>
          <w:tcPr>
            <w:tcW w:w="258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c>
          <w:tcPr>
            <w:tcW w:w="2326"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Travis McGIRL</w:t>
            </w:r>
          </w:p>
        </w:tc>
        <w:tc>
          <w:tcPr>
            <w:tcW w:w="2155"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sz w:val="22"/>
                <w:szCs w:val="22"/>
              </w:rPr>
            </w:r>
          </w:p>
        </w:tc>
        <w:tc>
          <w:tcPr>
            <w:tcW w:w="2584"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c>
          <w:tcPr>
            <w:tcW w:w="2326"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Y</w:t>
            </w:r>
          </w:p>
        </w:tc>
      </w:tr>
      <w:tr>
        <w:trPr>
          <w:trHeight w:val="403" w:hRule="exact"/>
        </w:trPr>
        <w:tc>
          <w:tcPr>
            <w:tcW w:w="301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WILLIAM NABORS</w:t>
            </w:r>
          </w:p>
        </w:tc>
        <w:tc>
          <w:tcPr>
            <w:tcW w:w="2155"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c>
          <w:tcPr>
            <w:tcW w:w="2584"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c>
          <w:tcPr>
            <w:tcW w:w="2326"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Y</w:t>
            </w:r>
          </w:p>
        </w:tc>
      </w:tr>
    </w:tbl>
    <w:p>
      <w:pPr>
        <w:pStyle w:val="Normal"/>
        <w:spacing w:lineRule="auto" w:line="276" w:before="288" w:after="115"/>
        <w:jc w:val="both"/>
        <w:rPr/>
      </w:pPr>
      <w:r>
        <w:rPr>
          <w:rFonts w:eastAsia="Arial" w:cs="Arial"/>
          <w:b/>
          <w:bCs/>
          <w:sz w:val="22"/>
          <w:szCs w:val="22"/>
        </w:rPr>
        <w:t xml:space="preserve">Summary: </w:t>
      </w:r>
      <w:r>
        <w:rPr>
          <w:rFonts w:eastAsia="Arial" w:cs="Arial"/>
          <w:sz w:val="22"/>
          <w:szCs w:val="22"/>
        </w:rPr>
        <w:t>22/22 (100%) have Rule 20 competency events. 14/22 (63.6%) have ESolutions digital signatures. 14/22 (63.6%) have a Finding of Incompetency and Order. No Aspose defendant is outside the competency pipeline.</w:t>
      </w:r>
    </w:p>
    <w:p>
      <w:pPr>
        <w:pStyle w:val="Normal"/>
        <w:spacing w:lineRule="exact" w:line="276" w:before="0" w:after="120"/>
        <w:rPr/>
      </w:pPr>
      <w:r>
        <w:rPr/>
        <w:drawing>
          <wp:anchor behindDoc="0" distT="0" distB="0" distL="0" distR="0" simplePos="0" locked="0" layoutInCell="0" allowOverlap="1" relativeHeight="6">
            <wp:simplePos x="0" y="0"/>
            <wp:positionH relativeFrom="column">
              <wp:posOffset>1270</wp:posOffset>
            </wp:positionH>
            <wp:positionV relativeFrom="paragraph">
              <wp:posOffset>132080</wp:posOffset>
            </wp:positionV>
            <wp:extent cx="5918835" cy="7204075"/>
            <wp:effectExtent l="0" t="0" r="0" b="0"/>
            <wp:wrapSquare wrapText="largest"/>
            <wp:docPr id="6" name="Image6" descr="Forensic analysis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Forensic analysis chart"/>
                    <pic:cNvPicPr>
                      <a:picLocks noChangeAspect="1" noChangeArrowheads="1"/>
                    </pic:cNvPicPr>
                  </pic:nvPicPr>
                  <pic:blipFill>
                    <a:blip r:embed="rId14"/>
                    <a:srcRect l="0" t="0" r="0" b="2633"/>
                    <a:stretch>
                      <a:fillRect/>
                    </a:stretch>
                  </pic:blipFill>
                  <pic:spPr bwMode="auto">
                    <a:xfrm>
                      <a:off x="0" y="0"/>
                      <a:ext cx="5918835" cy="7204075"/>
                    </a:xfrm>
                    <a:prstGeom prst="rect">
                      <a:avLst/>
                    </a:prstGeom>
                  </pic:spPr>
                </pic:pic>
              </a:graphicData>
            </a:graphic>
          </wp:anchor>
        </w:drawing>
      </w:r>
    </w:p>
    <w:p>
      <w:pPr>
        <w:pStyle w:val="Normal"/>
        <w:spacing w:before="100" w:after="200"/>
        <w:jc w:val="center"/>
        <w:rPr/>
      </w:pPr>
      <w:r>
        <w:rPr/>
      </w:r>
    </w:p>
    <w:p>
      <w:pPr>
        <w:pStyle w:val="Heading4"/>
        <w:spacing w:lineRule="exact" w:line="276" w:before="0" w:after="120"/>
        <w:rPr>
          <w:rFonts w:ascii="Arial" w:hAnsi="Arial" w:eastAsia="Arial" w:cs="Arial"/>
          <w:b/>
          <w:b/>
          <w:bCs/>
          <w:i w:val="false"/>
          <w:i w:val="false"/>
          <w:iCs w:val="false"/>
          <w:sz w:val="20"/>
          <w:szCs w:val="20"/>
        </w:rPr>
      </w:pPr>
      <w:r>
        <w:rPr>
          <w:rFonts w:eastAsia="Arial" w:cs="Arial" w:ascii="Arial" w:hAnsi="Arial"/>
          <w:b/>
          <w:bCs/>
          <w:i w:val="false"/>
          <w:iCs w:val="false"/>
          <w:sz w:val="20"/>
          <w:szCs w:val="20"/>
        </w:rPr>
      </w:r>
    </w:p>
    <w:p>
      <w:pPr>
        <w:pStyle w:val="Heading4"/>
        <w:spacing w:lineRule="exact" w:line="276" w:before="0" w:after="120"/>
        <w:rPr>
          <w:rFonts w:ascii="Arial" w:hAnsi="Arial" w:eastAsia="Arial" w:cs="Arial"/>
          <w:b/>
          <w:b/>
          <w:bCs/>
          <w:i w:val="false"/>
          <w:i w:val="false"/>
          <w:iCs w:val="false"/>
          <w:sz w:val="20"/>
          <w:szCs w:val="20"/>
        </w:rPr>
      </w:pPr>
      <w:r>
        <w:rPr>
          <w:rFonts w:eastAsia="Arial" w:cs="Arial" w:ascii="Arial" w:hAnsi="Arial"/>
          <w:b/>
          <w:bCs/>
          <w:i w:val="false"/>
          <w:iCs w:val="false"/>
          <w:sz w:val="20"/>
          <w:szCs w:val="20"/>
        </w:rPr>
      </w:r>
    </w:p>
    <w:p>
      <w:pPr>
        <w:pStyle w:val="Heading4"/>
        <w:spacing w:lineRule="exact" w:line="276" w:before="0" w:after="120"/>
        <w:rPr>
          <w:rFonts w:ascii="Arial" w:hAnsi="Arial" w:eastAsia="Arial" w:cs="Arial"/>
          <w:b/>
          <w:b/>
          <w:bCs/>
          <w:i w:val="false"/>
          <w:i w:val="false"/>
          <w:iCs w:val="false"/>
          <w:sz w:val="20"/>
          <w:szCs w:val="20"/>
        </w:rPr>
      </w:pPr>
      <w:r>
        <w:rPr>
          <w:rFonts w:eastAsia="Arial" w:cs="Arial" w:ascii="Arial" w:hAnsi="Arial"/>
          <w:b/>
          <w:bCs/>
          <w:i w:val="false"/>
          <w:iCs w:val="false"/>
          <w:sz w:val="20"/>
          <w:szCs w:val="20"/>
        </w:rPr>
      </w:r>
    </w:p>
    <w:p>
      <w:pPr>
        <w:pStyle w:val="Heading4"/>
        <w:spacing w:lineRule="exact" w:line="276" w:before="0" w:after="120"/>
        <w:rPr>
          <w:rFonts w:ascii="Arial" w:hAnsi="Arial" w:eastAsia="Arial" w:cs="Arial"/>
          <w:b/>
          <w:b/>
          <w:bCs/>
          <w:i w:val="false"/>
          <w:i w:val="false"/>
          <w:iCs w:val="false"/>
          <w:sz w:val="20"/>
          <w:szCs w:val="20"/>
        </w:rPr>
      </w:pPr>
      <w:r>
        <w:rPr>
          <w:rFonts w:eastAsia="Arial" w:cs="Arial" w:ascii="Arial" w:hAnsi="Arial"/>
          <w:b/>
          <w:bCs/>
          <w:i w:val="false"/>
          <w:iCs w:val="false"/>
          <w:sz w:val="20"/>
          <w:szCs w:val="20"/>
        </w:rPr>
      </w:r>
    </w:p>
    <w:p>
      <w:pPr>
        <w:pStyle w:val="Heading4"/>
        <w:spacing w:lineRule="exact" w:line="276" w:before="0" w:after="120"/>
        <w:rPr>
          <w:rFonts w:ascii="Arial" w:hAnsi="Arial" w:eastAsia="Arial" w:cs="Arial"/>
          <w:b/>
          <w:b/>
          <w:bCs/>
          <w:i w:val="false"/>
          <w:i w:val="false"/>
          <w:iCs w:val="false"/>
          <w:sz w:val="20"/>
          <w:szCs w:val="20"/>
        </w:rPr>
      </w:pPr>
      <w:r>
        <w:rPr>
          <w:rFonts w:eastAsia="Arial" w:cs="Arial" w:ascii="Arial" w:hAnsi="Arial"/>
          <w:b/>
          <w:bCs/>
          <w:i w:val="false"/>
          <w:iCs w:val="false"/>
          <w:sz w:val="20"/>
          <w:szCs w:val="20"/>
        </w:rPr>
      </w:r>
    </w:p>
    <w:p>
      <w:pPr>
        <w:pStyle w:val="Heading4"/>
        <w:spacing w:lineRule="exact" w:line="276" w:before="0" w:after="120"/>
        <w:rPr>
          <w:rFonts w:ascii="Arial" w:hAnsi="Arial" w:eastAsia="Arial" w:cs="Arial"/>
          <w:b/>
          <w:b/>
          <w:bCs/>
          <w:i w:val="false"/>
          <w:i w:val="false"/>
          <w:iCs w:val="false"/>
          <w:sz w:val="20"/>
          <w:szCs w:val="20"/>
        </w:rPr>
      </w:pPr>
      <w:r>
        <w:rPr>
          <w:rFonts w:eastAsia="Arial" w:cs="Arial" w:ascii="Arial" w:hAnsi="Arial"/>
          <w:b/>
          <w:bCs/>
          <w:i w:val="false"/>
          <w:iCs w:val="false"/>
          <w:sz w:val="20"/>
          <w:szCs w:val="20"/>
        </w:rPr>
      </w:r>
    </w:p>
    <w:p>
      <w:pPr>
        <w:pStyle w:val="Heading4"/>
        <w:spacing w:lineRule="exact" w:line="276" w:before="259" w:after="86"/>
        <w:rPr>
          <w:sz w:val="22"/>
          <w:szCs w:val="22"/>
        </w:rPr>
      </w:pPr>
      <w:r>
        <w:rPr>
          <w:rFonts w:eastAsia="Arial" w:cs="Arial" w:ascii="Arial" w:hAnsi="Arial"/>
          <w:b/>
          <w:bCs/>
          <w:i w:val="false"/>
          <w:iCs w:val="false"/>
          <w:sz w:val="22"/>
          <w:szCs w:val="22"/>
        </w:rPr>
        <w:t>Significance</w:t>
      </w:r>
    </w:p>
    <w:p>
      <w:pPr>
        <w:pStyle w:val="Normal"/>
        <w:spacing w:lineRule="exact" w:line="276" w:before="0" w:after="120"/>
        <w:jc w:val="both"/>
        <w:rPr>
          <w:sz w:val="22"/>
          <w:szCs w:val="22"/>
        </w:rPr>
      </w:pPr>
      <w:r>
        <w:rPr>
          <w:rFonts w:eastAsia="Arial" w:cs="Arial"/>
          <w:b w:val="false"/>
          <w:bCs w:val="false"/>
          <w:i w:val="false"/>
          <w:iCs w:val="false"/>
          <w:sz w:val="22"/>
          <w:szCs w:val="22"/>
        </w:rPr>
        <w:t>The Aspose cohort is not an isolated anomaly. Every Aspose defendant is embedded in the Rule 20 competency pipeline. The overlap with ESolutions signatures (63.6%) and incompetency orders (63.6%) indicates that the Aspose-fabricated documents exist within a broader ecosystem of forensic anomalies previously documented in this report series.</w:t>
      </w:r>
      <w:r>
        <w:br w:type="page"/>
      </w:r>
    </w:p>
    <w:p>
      <w:pPr>
        <w:pStyle w:val="Heading3"/>
        <w:spacing w:lineRule="exact" w:line="276" w:before="86" w:after="86"/>
        <w:rPr>
          <w:sz w:val="24"/>
          <w:szCs w:val="24"/>
        </w:rPr>
      </w:pPr>
      <w:r>
        <w:rPr>
          <w:rFonts w:eastAsia="Arial" w:cs="Arial" w:ascii="Arial" w:hAnsi="Arial"/>
          <w:b/>
          <w:bCs/>
          <w:i w:val="false"/>
          <w:iCs w:val="false"/>
          <w:sz w:val="24"/>
          <w:szCs w:val="24"/>
        </w:rPr>
        <w:t>Finding 8: The iText Pipeline Confirmation</w:t>
      </w:r>
    </w:p>
    <w:p>
      <w:pPr>
        <w:pStyle w:val="Heading4"/>
        <w:spacing w:lineRule="exact" w:line="276" w:before="144" w:after="86"/>
        <w:rPr>
          <w:sz w:val="22"/>
          <w:szCs w:val="22"/>
        </w:rPr>
      </w:pPr>
      <w:r>
        <w:rPr>
          <w:rFonts w:eastAsia="Arial" w:cs="Arial" w:ascii="Arial" w:hAnsi="Arial"/>
          <w:b/>
          <w:bCs/>
          <w:i w:val="false"/>
          <w:iCs w:val="false"/>
          <w:sz w:val="22"/>
          <w:szCs w:val="22"/>
        </w:rPr>
        <w:t>Background</w:t>
      </w:r>
    </w:p>
    <w:p>
      <w:pPr>
        <w:pStyle w:val="Normal"/>
        <w:spacing w:lineRule="auto" w:line="276" w:before="0" w:after="115"/>
        <w:jc w:val="both"/>
        <w:rPr>
          <w:sz w:val="22"/>
          <w:szCs w:val="22"/>
        </w:rPr>
      </w:pPr>
      <w:r>
        <w:rPr>
          <w:rFonts w:eastAsia="Arial" w:cs="Arial"/>
          <w:b w:val="false"/>
          <w:bCs w:val="false"/>
          <w:i w:val="false"/>
          <w:iCs w:val="false"/>
          <w:sz w:val="22"/>
          <w:szCs w:val="22"/>
        </w:rPr>
        <w:t>The MCRO system uses iText® 7.1.16, licensed to the Minnesota Judicial Branch, to process documents through its e-filing pipeline. This processing adds the iText producer string to the document’s XMP metadata. Its presence confirms a document was processed through the official court system.</w:t>
      </w:r>
    </w:p>
    <w:p>
      <w:pPr>
        <w:pStyle w:val="Heading4"/>
        <w:spacing w:lineRule="exact" w:line="276" w:before="0" w:after="86"/>
        <w:rPr>
          <w:sz w:val="22"/>
          <w:szCs w:val="22"/>
        </w:rPr>
      </w:pPr>
      <w:r>
        <w:rPr>
          <w:rFonts w:eastAsia="Arial" w:cs="Arial" w:ascii="Arial" w:hAnsi="Arial"/>
          <w:b/>
          <w:bCs/>
          <w:i w:val="false"/>
          <w:iCs w:val="false"/>
          <w:sz w:val="22"/>
          <w:szCs w:val="22"/>
        </w:rPr>
        <w:t>Findings</w:t>
      </w:r>
    </w:p>
    <w:p>
      <w:pPr>
        <w:pStyle w:val="Normal"/>
        <w:spacing w:lineRule="auto" w:line="276" w:before="0" w:after="115"/>
        <w:jc w:val="both"/>
        <w:rPr>
          <w:sz w:val="22"/>
          <w:szCs w:val="22"/>
        </w:rPr>
      </w:pPr>
      <w:r>
        <w:rPr>
          <w:rFonts w:eastAsia="Arial" w:cs="Arial"/>
          <w:b/>
          <w:bCs/>
          <w:sz w:val="22"/>
          <w:szCs w:val="22"/>
        </w:rPr>
        <w:t>27 of 27</w:t>
      </w:r>
      <w:r>
        <w:rPr>
          <w:rFonts w:eastAsia="Arial" w:cs="Arial"/>
          <w:sz w:val="22"/>
          <w:szCs w:val="22"/>
        </w:rPr>
        <w:t xml:space="preserve"> Aspose documents (100%) carry the iText 7.1.16 Minnesota Judicial Branch pipeline stamp. Corpus-wide, </w:t>
      </w:r>
      <w:r>
        <w:rPr>
          <w:rFonts w:eastAsia="Arial" w:cs="Arial"/>
          <w:b/>
          <w:bCs/>
          <w:sz w:val="22"/>
          <w:szCs w:val="22"/>
        </w:rPr>
        <w:t>4,148 of 4,251</w:t>
      </w:r>
      <w:r>
        <w:rPr>
          <w:rFonts w:eastAsia="Arial" w:cs="Arial"/>
          <w:sz w:val="22"/>
          <w:szCs w:val="22"/>
        </w:rPr>
        <w:t xml:space="preserve"> documents (97.6%) carry this stamp. (See Appendix A13–A14.)</w:t>
      </w:r>
    </w:p>
    <w:p>
      <w:pPr>
        <w:pStyle w:val="Heading4"/>
        <w:spacing w:lineRule="exact" w:line="276" w:before="29" w:after="58"/>
        <w:rPr>
          <w:sz w:val="22"/>
          <w:szCs w:val="22"/>
        </w:rPr>
      </w:pPr>
      <w:r>
        <w:rPr>
          <w:rFonts w:eastAsia="Arial" w:cs="Arial" w:ascii="Arial" w:hAnsi="Arial"/>
          <w:b/>
          <w:bCs/>
          <w:i w:val="false"/>
          <w:iCs w:val="false"/>
          <w:sz w:val="22"/>
          <w:szCs w:val="22"/>
        </w:rPr>
        <w:t>Significance</w:t>
      </w:r>
    </w:p>
    <w:p>
      <w:pPr>
        <w:pStyle w:val="Normal"/>
        <w:spacing w:lineRule="auto" w:line="276" w:before="0" w:after="202"/>
        <w:jc w:val="both"/>
        <w:rPr>
          <w:sz w:val="22"/>
          <w:szCs w:val="22"/>
        </w:rPr>
      </w:pPr>
      <w:r>
        <w:rPr>
          <w:rFonts w:eastAsia="Arial" w:cs="Arial"/>
          <w:b w:val="false"/>
          <w:bCs w:val="false"/>
          <w:i w:val="false"/>
          <w:iCs w:val="false"/>
          <w:sz w:val="22"/>
          <w:szCs w:val="22"/>
        </w:rPr>
        <w:t>The Aspose documents were not rogue uploads, external attachments, or documents that bypassed the court system. They were processed through the same official e-filing pipeline that handles 97.6% of all documents in the corpus. Whatever process created these documents with fabricated timestamps, it fed them into the official system.</w:t>
      </w:r>
    </w:p>
    <w:p>
      <w:pPr>
        <w:pStyle w:val="Heading3"/>
        <w:spacing w:before="158" w:after="144"/>
        <w:jc w:val="both"/>
        <w:rPr/>
      </w:pPr>
      <w:r>
        <w:rPr>
          <w:color w:val="1F3864"/>
        </w:rPr>
        <w:t>Finding 9: The Guertin Nexus — The Inventor, The Patent, The Incompetency, The Database</w:t>
      </w:r>
    </w:p>
    <w:p>
      <w:pPr>
        <w:pStyle w:val="Normal"/>
        <w:spacing w:lineRule="auto" w:line="276" w:before="0" w:after="29"/>
        <w:jc w:val="both"/>
        <w:rPr>
          <w:sz w:val="22"/>
          <w:szCs w:val="22"/>
        </w:rPr>
      </w:pPr>
      <w:r>
        <w:rPr>
          <w:rFonts w:eastAsia="Arial" w:cs="Arial"/>
          <w:b/>
          <w:bCs/>
          <w:i w:val="false"/>
          <w:iCs w:val="false"/>
          <w:sz w:val="22"/>
          <w:szCs w:val="22"/>
        </w:rPr>
        <w:t>Background</w:t>
      </w:r>
    </w:p>
    <w:p>
      <w:pPr>
        <w:pStyle w:val="Normal"/>
        <w:spacing w:lineRule="exact" w:line="276" w:before="0" w:after="115"/>
        <w:jc w:val="both"/>
        <w:rPr>
          <w:sz w:val="22"/>
          <w:szCs w:val="22"/>
        </w:rPr>
      </w:pPr>
      <w:r>
        <w:rPr>
          <w:rFonts w:eastAsia="Arial" w:cs="Arial"/>
          <w:b w:val="false"/>
          <w:bCs w:val="false"/>
          <w:i w:val="false"/>
          <w:iCs w:val="false"/>
          <w:sz w:val="22"/>
          <w:szCs w:val="22"/>
        </w:rPr>
        <w:t>This finding presents the timeline of the person who built the forensic database that identified the patterns documented in this report.</w:t>
      </w:r>
    </w:p>
    <w:p>
      <w:pPr>
        <w:pStyle w:val="Heading4"/>
        <w:spacing w:lineRule="exact" w:line="276" w:before="0" w:after="86"/>
        <w:rPr>
          <w:sz w:val="22"/>
          <w:szCs w:val="22"/>
        </w:rPr>
      </w:pPr>
      <w:r>
        <w:rPr>
          <w:rFonts w:eastAsia="Arial" w:cs="Arial" w:ascii="Arial" w:hAnsi="Arial"/>
          <w:b/>
          <w:bCs/>
          <w:i w:val="false"/>
          <w:iCs w:val="false"/>
          <w:sz w:val="22"/>
          <w:szCs w:val="22"/>
        </w:rPr>
        <w:t>Findings</w:t>
      </w:r>
    </w:p>
    <w:tbl>
      <w:tblPr>
        <w:tblW w:w="10080" w:type="dxa"/>
        <w:jc w:val="left"/>
        <w:tblInd w:w="-2" w:type="dxa"/>
        <w:tblLayout w:type="fixed"/>
        <w:tblCellMar>
          <w:top w:w="60" w:type="dxa"/>
          <w:left w:w="100" w:type="dxa"/>
          <w:bottom w:w="60" w:type="dxa"/>
          <w:right w:w="100" w:type="dxa"/>
        </w:tblCellMar>
      </w:tblPr>
      <w:tblGrid>
        <w:gridCol w:w="1800"/>
        <w:gridCol w:w="8279"/>
      </w:tblGrid>
      <w:tr>
        <w:trPr/>
        <w:tc>
          <w:tcPr>
            <w:tcW w:w="1800" w:type="dxa"/>
            <w:tcBorders>
              <w:top w:val="single" w:sz="2" w:space="0" w:color="CCCCCC"/>
              <w:left w:val="single" w:sz="2" w:space="0" w:color="CCCCCC"/>
              <w:bottom w:val="single" w:sz="2" w:space="0" w:color="CCCCCC"/>
              <w:right w:val="single" w:sz="2" w:space="0" w:color="CCCCCC"/>
            </w:tcBorders>
            <w:shd w:fill="1F3864" w:val="clear"/>
          </w:tcPr>
          <w:p>
            <w:pPr>
              <w:pStyle w:val="Normal"/>
              <w:widowControl w:val="false"/>
              <w:ind w:left="0" w:hanging="0"/>
              <w:rPr>
                <w:sz w:val="20"/>
                <w:szCs w:val="20"/>
              </w:rPr>
            </w:pPr>
            <w:r>
              <w:rPr>
                <w:rFonts w:eastAsia="Arial" w:cs="Arial"/>
                <w:b/>
                <w:bCs/>
                <w:color w:val="FFFFFF"/>
                <w:sz w:val="20"/>
                <w:szCs w:val="20"/>
              </w:rPr>
              <w:t>Date</w:t>
            </w:r>
          </w:p>
        </w:tc>
        <w:tc>
          <w:tcPr>
            <w:tcW w:w="8279" w:type="dxa"/>
            <w:tcBorders>
              <w:top w:val="single" w:sz="2" w:space="0" w:color="CCCCCC"/>
              <w:left w:val="single" w:sz="2" w:space="0" w:color="CCCCCC"/>
              <w:bottom w:val="single" w:sz="2" w:space="0" w:color="CCCCCC"/>
              <w:right w:val="single" w:sz="2" w:space="0" w:color="CCCCCC"/>
            </w:tcBorders>
            <w:shd w:fill="1F3864" w:val="clear"/>
          </w:tcPr>
          <w:p>
            <w:pPr>
              <w:pStyle w:val="Normal"/>
              <w:widowControl w:val="false"/>
              <w:ind w:left="0" w:hanging="0"/>
              <w:rPr>
                <w:sz w:val="20"/>
                <w:szCs w:val="20"/>
              </w:rPr>
            </w:pPr>
            <w:r>
              <w:rPr>
                <w:rFonts w:eastAsia="Arial" w:cs="Arial"/>
                <w:b/>
                <w:bCs/>
                <w:color w:val="FFFFFF"/>
                <w:sz w:val="20"/>
                <w:szCs w:val="20"/>
              </w:rPr>
              <w:t>Event</w:t>
            </w:r>
          </w:p>
        </w:tc>
      </w:tr>
      <w:tr>
        <w:trPr/>
        <w:tc>
          <w:tcPr>
            <w:tcW w:w="180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2022-03-18</w:t>
            </w:r>
          </w:p>
        </w:tc>
        <w:tc>
          <w:tcPr>
            <w:tcW w:w="8279"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Guertin files US Patent Application 17/698,420</w:t>
            </w:r>
          </w:p>
        </w:tc>
      </w:tr>
      <w:tr>
        <w:trPr/>
        <w:tc>
          <w:tcPr>
            <w:tcW w:w="180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2022-07-18</w:t>
            </w:r>
          </w:p>
        </w:tc>
        <w:tc>
          <w:tcPr>
            <w:tcW w:w="8279"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InfiniSet, Inc. incorporated (Delaware)</w:t>
            </w:r>
          </w:p>
        </w:tc>
      </w:tr>
      <w:tr>
        <w:trPr/>
        <w:tc>
          <w:tcPr>
            <w:tcW w:w="180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2022-11-13</w:t>
            </w:r>
          </w:p>
        </w:tc>
        <w:tc>
          <w:tcPr>
            <w:tcW w:w="8279"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InfiniSet, Inc. registered in Minnesota</w:t>
            </w:r>
          </w:p>
        </w:tc>
      </w:tr>
      <w:tr>
        <w:trPr/>
        <w:tc>
          <w:tcPr>
            <w:tcW w:w="180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2022-12-06</w:t>
            </w:r>
          </w:p>
        </w:tc>
        <w:tc>
          <w:tcPr>
            <w:tcW w:w="8279"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US Patent 11,577,177 granted to Matthew D. Guertin</w:t>
            </w:r>
          </w:p>
        </w:tc>
      </w:tr>
      <w:tr>
        <w:trPr/>
        <w:tc>
          <w:tcPr>
            <w:tcW w:w="180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2023-01-12</w:t>
            </w:r>
          </w:p>
        </w:tc>
        <w:tc>
          <w:tcPr>
            <w:tcW w:w="8279"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Guertin drives to FBI office to report suspected patent infringement</w:t>
            </w:r>
          </w:p>
        </w:tc>
      </w:tr>
      <w:tr>
        <w:trPr/>
        <w:tc>
          <w:tcPr>
            <w:tcW w:w="180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2023-01-24</w:t>
            </w:r>
          </w:p>
        </w:tc>
        <w:tc>
          <w:tcPr>
            <w:tcW w:w="8279"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Criminal complaint filed: State v. Guertin (27-CR-23-1886)</w:t>
            </w:r>
          </w:p>
        </w:tc>
      </w:tr>
      <w:tr>
        <w:trPr/>
        <w:tc>
          <w:tcPr>
            <w:tcW w:w="180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2023-01-25</w:t>
            </w:r>
          </w:p>
        </w:tc>
        <w:tc>
          <w:tcPr>
            <w:tcW w:w="8279"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First Rule 20.01 competency evaluation ordered</w:t>
            </w:r>
          </w:p>
        </w:tc>
      </w:tr>
      <w:tr>
        <w:trPr/>
        <w:tc>
          <w:tcPr>
            <w:tcW w:w="180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2023-03-10</w:t>
            </w:r>
          </w:p>
        </w:tc>
        <w:tc>
          <w:tcPr>
            <w:tcW w:w="8279"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First Rule 20 evaluation report</w:t>
            </w:r>
          </w:p>
        </w:tc>
      </w:tr>
      <w:tr>
        <w:trPr/>
        <w:tc>
          <w:tcPr>
            <w:tcW w:w="180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2023-07-13</w:t>
            </w:r>
          </w:p>
        </w:tc>
        <w:tc>
          <w:tcPr>
            <w:tcW w:w="8279"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First Finding of Incompetency</w:t>
            </w:r>
          </w:p>
        </w:tc>
      </w:tr>
      <w:tr>
        <w:trPr/>
        <w:tc>
          <w:tcPr>
            <w:tcW w:w="180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2024-01-16–17</w:t>
            </w:r>
          </w:p>
        </w:tc>
        <w:tc>
          <w:tcPr>
            <w:tcW w:w="8279"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Second Finding of Incompetency</w:t>
            </w:r>
          </w:p>
        </w:tc>
      </w:tr>
      <w:tr>
        <w:trPr/>
        <w:tc>
          <w:tcPr>
            <w:tcW w:w="180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2024-04-29–30</w:t>
            </w:r>
          </w:p>
        </w:tc>
        <w:tc>
          <w:tcPr>
            <w:tcW w:w="8279"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Guertin downloads the 163 MCRO seed cases</w:t>
            </w:r>
          </w:p>
        </w:tc>
      </w:tr>
      <w:tr>
        <w:trPr/>
        <w:tc>
          <w:tcPr>
            <w:tcW w:w="180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2024–2025</w:t>
            </w:r>
          </w:p>
        </w:tc>
        <w:tc>
          <w:tcPr>
            <w:tcW w:w="8279"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Guertin builds 4,251-document forensic database</w:t>
            </w:r>
          </w:p>
        </w:tc>
      </w:tr>
      <w:tr>
        <w:trPr/>
        <w:tc>
          <w:tcPr>
            <w:tcW w:w="180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2025-04-29</w:t>
            </w:r>
          </w:p>
        </w:tc>
        <w:tc>
          <w:tcPr>
            <w:tcW w:w="8279"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Judge Hudleston orders 4th Rule 20 evaluation (26 days after competency restoration by Judge Koch)</w:t>
            </w:r>
          </w:p>
        </w:tc>
      </w:tr>
      <w:tr>
        <w:trPr/>
        <w:tc>
          <w:tcPr>
            <w:tcW w:w="180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2025-10-07</w:t>
            </w:r>
          </w:p>
        </w:tc>
        <w:tc>
          <w:tcPr>
            <w:tcW w:w="8279"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Carpenter tells Guertin “they can do it indefinitely”</w:t>
            </w:r>
          </w:p>
        </w:tc>
      </w:tr>
      <w:tr>
        <w:trPr/>
        <w:tc>
          <w:tcPr>
            <w:tcW w:w="1800"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2025-11-18</w:t>
            </w:r>
          </w:p>
        </w:tc>
        <w:tc>
          <w:tcPr>
            <w:tcW w:w="8279" w:type="dxa"/>
            <w:tcBorders>
              <w:top w:val="single" w:sz="2" w:space="0" w:color="CCCCCC"/>
              <w:left w:val="single" w:sz="2" w:space="0" w:color="CCCCCC"/>
              <w:bottom w:val="single" w:sz="2" w:space="0" w:color="CCCCCC"/>
              <w:right w:val="single" w:sz="2" w:space="0" w:color="CCCCCC"/>
            </w:tcBorders>
          </w:tcPr>
          <w:p>
            <w:pPr>
              <w:pStyle w:val="Normal"/>
              <w:widowControl w:val="false"/>
              <w:rPr>
                <w:sz w:val="22"/>
                <w:szCs w:val="22"/>
              </w:rPr>
            </w:pPr>
            <w:r>
              <w:rPr>
                <w:rFonts w:eastAsia="Arial" w:cs="Arial"/>
                <w:b w:val="false"/>
                <w:bCs w:val="false"/>
                <w:sz w:val="22"/>
                <w:szCs w:val="22"/>
              </w:rPr>
              <w:t>Guertin told he cannot litigate discovery issues while incompetent</w:t>
            </w:r>
          </w:p>
        </w:tc>
      </w:tr>
      <w:tr>
        <w:trPr/>
        <w:tc>
          <w:tcPr>
            <w:tcW w:w="1800"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Ongoing</w:t>
            </w:r>
          </w:p>
        </w:tc>
        <w:tc>
          <w:tcPr>
            <w:tcW w:w="8279" w:type="dxa"/>
            <w:tcBorders>
              <w:top w:val="single" w:sz="2" w:space="0" w:color="CCCCCC"/>
              <w:left w:val="single" w:sz="2" w:space="0" w:color="CCCCCC"/>
              <w:bottom w:val="single" w:sz="2" w:space="0" w:color="CCCCCC"/>
              <w:right w:val="single" w:sz="2" w:space="0" w:color="CCCCCC"/>
            </w:tcBorders>
            <w:shd w:fill="F2F2F2" w:val="clear"/>
          </w:tcPr>
          <w:p>
            <w:pPr>
              <w:pStyle w:val="Normal"/>
              <w:widowControl w:val="false"/>
              <w:rPr>
                <w:sz w:val="22"/>
                <w:szCs w:val="22"/>
              </w:rPr>
            </w:pPr>
            <w:r>
              <w:rPr>
                <w:rFonts w:eastAsia="Arial" w:cs="Arial"/>
                <w:b w:val="false"/>
                <w:bCs w:val="false"/>
                <w:sz w:val="22"/>
                <w:szCs w:val="22"/>
              </w:rPr>
              <w:t>38+ months of Rule 20 proceedings; 23 R20/competency events; 68.8th percentile</w:t>
            </w:r>
          </w:p>
        </w:tc>
      </w:tr>
    </w:tbl>
    <w:p>
      <w:pPr>
        <w:pStyle w:val="Heading4"/>
        <w:spacing w:lineRule="exact" w:line="276" w:before="0" w:after="115"/>
        <w:rPr>
          <w:sz w:val="22"/>
          <w:szCs w:val="22"/>
        </w:rPr>
      </w:pPr>
      <w:r>
        <w:rPr>
          <w:rFonts w:eastAsia="Arial" w:cs="Arial" w:ascii="Arial" w:hAnsi="Arial"/>
          <w:b/>
          <w:bCs/>
          <w:i w:val="false"/>
          <w:iCs w:val="false"/>
          <w:sz w:val="22"/>
          <w:szCs w:val="22"/>
        </w:rPr>
        <w:t>The Meta-Finding</w:t>
      </w:r>
    </w:p>
    <w:p>
      <w:pPr>
        <w:pStyle w:val="Normal"/>
        <w:spacing w:lineRule="auto" w:line="276" w:before="0" w:after="202"/>
        <w:jc w:val="both"/>
        <w:rPr>
          <w:sz w:val="22"/>
          <w:szCs w:val="22"/>
        </w:rPr>
      </w:pPr>
      <w:r>
        <w:rPr>
          <w:rFonts w:eastAsia="Arial" w:cs="Arial"/>
          <w:b w:val="false"/>
          <w:bCs w:val="false"/>
          <w:i w:val="false"/>
          <w:iCs w:val="false"/>
          <w:sz w:val="22"/>
          <w:szCs w:val="22"/>
        </w:rPr>
        <w:t>The person declared legally incompetent — unable to “rationally consult with counsel,” “understand the proceedings,” or “participate in the defense” under MN 611.42 — is the same person who:</w:t>
      </w:r>
    </w:p>
    <w:p>
      <w:pPr>
        <w:pStyle w:val="Normal"/>
        <w:spacing w:lineRule="auto" w:line="276" w:before="0" w:after="144"/>
        <w:ind w:left="720" w:hanging="0"/>
        <w:jc w:val="left"/>
        <w:rPr>
          <w:sz w:val="22"/>
          <w:szCs w:val="22"/>
        </w:rPr>
      </w:pPr>
      <w:r>
        <w:rPr>
          <w:rFonts w:eastAsia="Arial" w:cs="Arial"/>
          <w:b w:val="false"/>
          <w:bCs w:val="false"/>
          <w:i w:val="false"/>
          <w:iCs w:val="false"/>
          <w:sz w:val="22"/>
          <w:szCs w:val="22"/>
        </w:rPr>
        <w:t xml:space="preserve">•  </w:t>
      </w:r>
      <w:r>
        <w:rPr>
          <w:rFonts w:eastAsia="Arial" w:cs="Arial"/>
          <w:b w:val="false"/>
          <w:bCs w:val="false"/>
          <w:i w:val="false"/>
          <w:iCs w:val="false"/>
          <w:sz w:val="22"/>
          <w:szCs w:val="22"/>
        </w:rPr>
        <w:t>Holds US Patent 11,577,177 (adaptive media interface)</w:t>
      </w:r>
    </w:p>
    <w:p>
      <w:pPr>
        <w:pStyle w:val="Normal"/>
        <w:spacing w:lineRule="auto" w:line="276" w:before="0" w:after="144"/>
        <w:ind w:left="720" w:hanging="0"/>
        <w:jc w:val="left"/>
        <w:rPr>
          <w:sz w:val="22"/>
          <w:szCs w:val="22"/>
        </w:rPr>
      </w:pPr>
      <w:r>
        <w:rPr>
          <w:rFonts w:eastAsia="Arial" w:cs="Arial"/>
          <w:b w:val="false"/>
          <w:bCs w:val="false"/>
          <w:i w:val="false"/>
          <w:iCs w:val="false"/>
          <w:sz w:val="22"/>
          <w:szCs w:val="22"/>
        </w:rPr>
        <w:t xml:space="preserve">•  </w:t>
      </w:r>
      <w:r>
        <w:rPr>
          <w:rFonts w:eastAsia="Arial" w:cs="Arial"/>
          <w:b w:val="false"/>
          <w:bCs w:val="false"/>
          <w:i w:val="false"/>
          <w:iCs w:val="false"/>
          <w:sz w:val="22"/>
          <w:szCs w:val="22"/>
        </w:rPr>
        <w:t>Is CEO of InfiniSet, Inc.</w:t>
      </w:r>
    </w:p>
    <w:p>
      <w:pPr>
        <w:pStyle w:val="Normal"/>
        <w:spacing w:lineRule="auto" w:line="276" w:before="0" w:after="144"/>
        <w:ind w:left="720" w:hanging="0"/>
        <w:jc w:val="left"/>
        <w:rPr>
          <w:sz w:val="22"/>
          <w:szCs w:val="22"/>
        </w:rPr>
      </w:pPr>
      <w:r>
        <w:rPr>
          <w:rFonts w:eastAsia="Arial" w:cs="Arial"/>
          <w:b w:val="false"/>
          <w:bCs w:val="false"/>
          <w:i w:val="false"/>
          <w:iCs w:val="false"/>
          <w:sz w:val="22"/>
          <w:szCs w:val="22"/>
        </w:rPr>
        <w:t xml:space="preserve">•  </w:t>
      </w:r>
      <w:r>
        <w:rPr>
          <w:rFonts w:eastAsia="Arial" w:cs="Arial"/>
          <w:b w:val="false"/>
          <w:bCs w:val="false"/>
          <w:i w:val="false"/>
          <w:iCs w:val="false"/>
          <w:sz w:val="22"/>
          <w:szCs w:val="22"/>
        </w:rPr>
        <w:t>Built a PostgreSQL forensic database of 4,251 court documents across 245 cases</w:t>
      </w:r>
    </w:p>
    <w:p>
      <w:pPr>
        <w:pStyle w:val="Normal"/>
        <w:spacing w:lineRule="auto" w:line="276" w:before="0" w:after="144"/>
        <w:ind w:left="720" w:hanging="0"/>
        <w:jc w:val="left"/>
        <w:rPr>
          <w:sz w:val="22"/>
          <w:szCs w:val="22"/>
        </w:rPr>
      </w:pPr>
      <w:r>
        <w:rPr>
          <w:rFonts w:eastAsia="Arial" w:cs="Arial"/>
          <w:b w:val="false"/>
          <w:bCs w:val="false"/>
          <w:i w:val="false"/>
          <w:iCs w:val="false"/>
          <w:sz w:val="22"/>
          <w:szCs w:val="22"/>
        </w:rPr>
        <w:t xml:space="preserve">•  </w:t>
      </w:r>
      <w:r>
        <w:rPr>
          <w:rFonts w:eastAsia="Arial" w:cs="Arial"/>
          <w:b w:val="false"/>
          <w:bCs w:val="false"/>
          <w:i w:val="false"/>
          <w:iCs w:val="false"/>
          <w:sz w:val="22"/>
          <w:szCs w:val="22"/>
        </w:rPr>
        <w:t>Designed and deployed a dual-timestamped evidence capture system (OpenTimestamps + MITMPROXY)</w:t>
      </w:r>
    </w:p>
    <w:p>
      <w:pPr>
        <w:pStyle w:val="Normal"/>
        <w:spacing w:lineRule="auto" w:line="276" w:before="0" w:after="144"/>
        <w:ind w:left="720" w:hanging="0"/>
        <w:jc w:val="left"/>
        <w:rPr>
          <w:sz w:val="22"/>
          <w:szCs w:val="22"/>
        </w:rPr>
      </w:pPr>
      <w:r>
        <w:rPr>
          <w:rFonts w:eastAsia="Arial" w:cs="Arial"/>
          <w:b w:val="false"/>
          <w:bCs w:val="false"/>
          <w:i w:val="false"/>
          <w:iCs w:val="false"/>
          <w:sz w:val="22"/>
          <w:szCs w:val="22"/>
        </w:rPr>
        <w:t xml:space="preserve">•  </w:t>
      </w:r>
      <w:r>
        <w:rPr>
          <w:rFonts w:eastAsia="Arial" w:cs="Arial"/>
          <w:b w:val="false"/>
          <w:bCs w:val="false"/>
          <w:i w:val="false"/>
          <w:iCs w:val="false"/>
          <w:sz w:val="22"/>
          <w:szCs w:val="22"/>
        </w:rPr>
        <w:t>Produced 49+ forensic reports documenting anomalies in the court records</w:t>
      </w:r>
    </w:p>
    <w:p>
      <w:pPr>
        <w:pStyle w:val="Normal"/>
        <w:spacing w:lineRule="auto" w:line="276" w:before="0" w:after="230"/>
        <w:ind w:left="720" w:hanging="0"/>
        <w:jc w:val="left"/>
        <w:rPr>
          <w:sz w:val="22"/>
          <w:szCs w:val="22"/>
        </w:rPr>
      </w:pPr>
      <w:r>
        <w:rPr>
          <w:rFonts w:eastAsia="Arial" w:cs="Arial"/>
          <w:b w:val="false"/>
          <w:bCs w:val="false"/>
          <w:i w:val="false"/>
          <w:iCs w:val="false"/>
          <w:sz w:val="22"/>
          <w:szCs w:val="22"/>
        </w:rPr>
        <w:t xml:space="preserve">•  </w:t>
      </w:r>
      <w:r>
        <w:rPr>
          <w:rFonts w:eastAsia="Arial" w:cs="Arial"/>
          <w:b w:val="false"/>
          <w:bCs w:val="false"/>
          <w:i w:val="false"/>
          <w:iCs w:val="false"/>
          <w:sz w:val="22"/>
          <w:szCs w:val="22"/>
        </w:rPr>
        <w:t>Discovered that the filing type preventing charge dismissal — “Notice of Intent to Prosecute” — contains fabricated creation dates</w:t>
      </w:r>
    </w:p>
    <w:p>
      <w:pPr>
        <w:pStyle w:val="Normal"/>
        <w:spacing w:lineRule="auto" w:line="276" w:before="0" w:after="120"/>
        <w:jc w:val="both"/>
        <w:rPr>
          <w:sz w:val="22"/>
          <w:szCs w:val="22"/>
        </w:rPr>
      </w:pPr>
      <w:r>
        <w:rPr>
          <w:rFonts w:eastAsia="Arial" w:cs="Arial"/>
          <w:b w:val="false"/>
          <w:bCs w:val="false"/>
          <w:i w:val="false"/>
          <w:iCs w:val="false"/>
          <w:sz w:val="22"/>
          <w:szCs w:val="22"/>
        </w:rPr>
        <w:t>And the system that declared him incompetent uses the same “Notice of Intent to Prosecute” mechanism to maintain indefinite control over defendants.</w:t>
      </w:r>
    </w:p>
    <w:p>
      <w:pPr>
        <w:pStyle w:val="Heading3"/>
        <w:spacing w:before="245" w:after="202"/>
        <w:rPr/>
      </w:pPr>
      <w:r>
        <w:rPr/>
        <w:t>Finding 10: The Travis McGIRL Filing — The 12.1-Year Gap</w:t>
      </w:r>
    </w:p>
    <w:p>
      <w:pPr>
        <w:pStyle w:val="Normal"/>
        <w:spacing w:lineRule="auto" w:line="276" w:before="0" w:after="86"/>
        <w:jc w:val="both"/>
        <w:rPr>
          <w:sz w:val="22"/>
          <w:szCs w:val="22"/>
        </w:rPr>
      </w:pPr>
      <w:r>
        <w:rPr>
          <w:rFonts w:eastAsia="Arial" w:cs="Arial"/>
          <w:b/>
          <w:bCs/>
          <w:i w:val="false"/>
          <w:iCs w:val="false"/>
          <w:sz w:val="22"/>
          <w:szCs w:val="22"/>
        </w:rPr>
        <w:t>Background</w:t>
      </w:r>
    </w:p>
    <w:p>
      <w:pPr>
        <w:pStyle w:val="Normal"/>
        <w:spacing w:lineRule="auto" w:line="276" w:before="0" w:after="173"/>
        <w:jc w:val="both"/>
        <w:rPr>
          <w:sz w:val="22"/>
          <w:szCs w:val="22"/>
        </w:rPr>
      </w:pPr>
      <w:r>
        <w:rPr>
          <w:rFonts w:eastAsia="Arial" w:cs="Arial"/>
          <w:b w:val="false"/>
          <w:bCs w:val="false"/>
          <w:i w:val="false"/>
          <w:iCs w:val="false"/>
          <w:sz w:val="22"/>
          <w:szCs w:val="22"/>
        </w:rPr>
        <w:t>Travis McGIRL’s case (27-CR-20-20866) represents the single most extreme data point in the Aspose cohort.</w:t>
      </w:r>
    </w:p>
    <w:p>
      <w:pPr>
        <w:pStyle w:val="Heading4"/>
        <w:spacing w:lineRule="exact" w:line="276" w:before="0" w:after="86"/>
        <w:rPr>
          <w:sz w:val="22"/>
          <w:szCs w:val="22"/>
        </w:rPr>
      </w:pPr>
      <w:r>
        <w:rPr>
          <w:rFonts w:eastAsia="Arial" w:cs="Arial" w:ascii="Arial" w:hAnsi="Arial"/>
          <w:b/>
          <w:bCs/>
          <w:i w:val="false"/>
          <w:iCs w:val="false"/>
          <w:sz w:val="22"/>
          <w:szCs w:val="22"/>
        </w:rPr>
        <w:t>Findings</w:t>
      </w:r>
    </w:p>
    <w:p>
      <w:pPr>
        <w:pStyle w:val="Normal"/>
        <w:spacing w:lineRule="auto" w:line="276" w:before="0" w:after="120"/>
        <w:jc w:val="both"/>
        <w:rPr>
          <w:sz w:val="22"/>
          <w:szCs w:val="22"/>
        </w:rPr>
      </w:pPr>
      <w:r>
        <w:rPr>
          <w:rFonts w:eastAsia="Arial" w:cs="Arial"/>
          <w:sz w:val="22"/>
          <w:szCs w:val="22"/>
        </w:rPr>
        <w:t xml:space="preserve">A “Dismissal by Prosecuting Attorney” document for Travis McGIRL was filed on </w:t>
      </w:r>
      <w:r>
        <w:rPr>
          <w:rFonts w:eastAsia="Arial" w:cs="Arial"/>
          <w:b/>
          <w:bCs/>
          <w:sz w:val="22"/>
          <w:szCs w:val="22"/>
        </w:rPr>
        <w:t>September 30, 2025</w:t>
      </w:r>
      <w:r>
        <w:rPr>
          <w:rFonts w:eastAsia="Arial" w:cs="Arial"/>
          <w:sz w:val="22"/>
          <w:szCs w:val="22"/>
        </w:rPr>
        <w:t xml:space="preserve">. Its XMP creation date is </w:t>
      </w:r>
      <w:r>
        <w:rPr>
          <w:rFonts w:eastAsia="Arial" w:cs="Arial"/>
          <w:b/>
          <w:bCs/>
          <w:sz w:val="22"/>
          <w:szCs w:val="22"/>
        </w:rPr>
        <w:t>September 9, 2013</w:t>
      </w:r>
      <w:r>
        <w:rPr>
          <w:rFonts w:eastAsia="Arial" w:cs="Arial"/>
          <w:sz w:val="22"/>
          <w:szCs w:val="22"/>
        </w:rPr>
        <w:t xml:space="preserve"> — a gap of </w:t>
      </w:r>
      <w:r>
        <w:rPr>
          <w:rFonts w:eastAsia="Arial" w:cs="Arial"/>
          <w:b/>
          <w:bCs/>
          <w:color w:val="D94F30"/>
          <w:sz w:val="22"/>
          <w:szCs w:val="22"/>
        </w:rPr>
        <w:t>4,404 days (12.1 years)</w:t>
      </w:r>
      <w:r>
        <w:rPr>
          <w:rFonts w:eastAsia="Arial" w:cs="Arial"/>
          <w:sz w:val="22"/>
          <w:szCs w:val="22"/>
        </w:rPr>
        <w:t>. The creation date is 5 months before the Aspose 14.2.0.0 software existed.</w:t>
      </w:r>
    </w:p>
    <w:p>
      <w:pPr>
        <w:pStyle w:val="Normal"/>
        <w:spacing w:lineRule="auto" w:line="276" w:before="0" w:after="173"/>
        <w:jc w:val="both"/>
        <w:rPr>
          <w:sz w:val="22"/>
          <w:szCs w:val="22"/>
        </w:rPr>
      </w:pPr>
      <w:r>
        <w:rPr>
          <w:rFonts w:eastAsia="Arial" w:cs="Arial"/>
          <w:b w:val="false"/>
          <w:bCs w:val="false"/>
          <w:i w:val="false"/>
          <w:iCs w:val="false"/>
          <w:sz w:val="22"/>
          <w:szCs w:val="22"/>
        </w:rPr>
        <w:t>McGIRL’s docket reveals a 5-year journey through the competency pipeline: criminal complaint (September 29, 2020), first Rule 20 evaluation order (October 27, 2020), first Found Incompetent (February 2, 2021), Notice of Intent to Prosecute filed (February 3, 2021 — the next day), four subsequent Findings of Incompetency (August 2021, February 2022, March 2023, April 2025), and finally Dismissal by Prosecuting Attorney on September 30, 2025. (See Appendix A15–A16.)</w:t>
      </w:r>
    </w:p>
    <w:p>
      <w:pPr>
        <w:pStyle w:val="Heading4"/>
        <w:spacing w:lineRule="exact" w:line="276" w:before="0" w:after="86"/>
        <w:rPr>
          <w:sz w:val="22"/>
          <w:szCs w:val="22"/>
        </w:rPr>
      </w:pPr>
      <w:r>
        <w:rPr>
          <w:rFonts w:eastAsia="Arial" w:cs="Arial" w:ascii="Arial" w:hAnsi="Arial"/>
          <w:b/>
          <w:bCs/>
          <w:i w:val="false"/>
          <w:iCs w:val="false"/>
          <w:sz w:val="22"/>
          <w:szCs w:val="22"/>
        </w:rPr>
        <w:t>Significance</w:t>
      </w:r>
    </w:p>
    <w:p>
      <w:pPr>
        <w:pStyle w:val="Normal"/>
        <w:spacing w:lineRule="auto" w:line="276" w:before="0" w:after="173"/>
        <w:jc w:val="both"/>
        <w:rPr>
          <w:sz w:val="22"/>
          <w:szCs w:val="22"/>
        </w:rPr>
      </w:pPr>
      <w:r>
        <w:rPr>
          <w:rFonts w:eastAsia="Arial" w:cs="Arial"/>
          <w:b w:val="false"/>
          <w:bCs w:val="false"/>
          <w:i w:val="false"/>
          <w:iCs w:val="false"/>
          <w:sz w:val="22"/>
          <w:szCs w:val="22"/>
        </w:rPr>
        <w:t>The document that ends McGIRL’s prosecution — the dismissal — was itself produced by the same Aspose system that generated the “Notice of Intent to Prosecute” documents that kept other defendants’ cases alive. A dismissal filed in 2025 claims to have been created in 2013. The document type is itself significant: it represents the end of a prosecution that was enabled to continue by a “Notice of Intent to Prosecute” — the same filing type that constitutes 66.7% of the Aspose cohort.</w:t>
      </w:r>
    </w:p>
    <w:p>
      <w:pPr>
        <w:pStyle w:val="Heading4"/>
        <w:spacing w:lineRule="exact" w:line="276" w:before="0" w:after="86"/>
        <w:rPr>
          <w:sz w:val="22"/>
          <w:szCs w:val="22"/>
        </w:rPr>
      </w:pPr>
      <w:r>
        <w:rPr>
          <w:rFonts w:eastAsia="Arial" w:cs="Arial" w:ascii="Arial" w:hAnsi="Arial"/>
          <w:b/>
          <w:bCs/>
          <w:i w:val="false"/>
          <w:iCs w:val="false"/>
          <w:sz w:val="22"/>
          <w:szCs w:val="22"/>
        </w:rPr>
        <w:t>Connecting Context</w:t>
      </w:r>
    </w:p>
    <w:p>
      <w:pPr>
        <w:pStyle w:val="Normal"/>
        <w:spacing w:lineRule="auto" w:line="276" w:before="0" w:after="120"/>
        <w:jc w:val="both"/>
        <w:rPr>
          <w:sz w:val="22"/>
          <w:szCs w:val="22"/>
        </w:rPr>
      </w:pPr>
      <w:r>
        <w:rPr>
          <w:rFonts w:eastAsia="Arial" w:cs="Arial"/>
          <w:b w:val="false"/>
          <w:bCs w:val="false"/>
          <w:i w:val="false"/>
          <w:iCs w:val="false"/>
          <w:sz w:val="22"/>
          <w:szCs w:val="22"/>
        </w:rPr>
        <w:t>McGIRL’s case is a complete lifecycle: charge → incompetency → NIP filed (next day) → four more incompetency findings over 4 years → dismissal. The entry mechanism (NIP) and the exit mechanism (dismissal) both carry Aspose-fabricated creation dates. The system that kept him in the pipeline and the system that released him from it used the same document generation process.</w:t>
      </w:r>
      <w:r>
        <w:br w:type="page"/>
      </w:r>
    </w:p>
    <w:p>
      <w:pPr>
        <w:pStyle w:val="Heading2"/>
        <w:spacing w:lineRule="exact" w:line="276" w:before="86" w:after="115"/>
        <w:rPr>
          <w:sz w:val="24"/>
          <w:szCs w:val="24"/>
        </w:rPr>
      </w:pPr>
      <w:r>
        <w:rPr>
          <w:rFonts w:eastAsia="Arial" w:cs="Arial" w:ascii="Arial" w:hAnsi="Arial"/>
          <w:b/>
          <w:bCs/>
          <w:i w:val="false"/>
          <w:iCs w:val="false"/>
          <w:sz w:val="24"/>
          <w:szCs w:val="24"/>
        </w:rPr>
        <w:t>LIMITATIONS AND ALTERNATIVE EXPLANATIONS</w:t>
      </w:r>
    </w:p>
    <w:p>
      <w:pPr>
        <w:pStyle w:val="Normal"/>
        <w:spacing w:lineRule="auto" w:line="276" w:before="0" w:after="173"/>
        <w:jc w:val="both"/>
        <w:rPr>
          <w:sz w:val="22"/>
          <w:szCs w:val="22"/>
        </w:rPr>
      </w:pPr>
      <w:r>
        <w:rPr>
          <w:rFonts w:eastAsia="Arial" w:cs="Arial"/>
          <w:b w:val="false"/>
          <w:bCs w:val="false"/>
          <w:i w:val="false"/>
          <w:iCs w:val="false"/>
          <w:sz w:val="22"/>
          <w:szCs w:val="22"/>
        </w:rPr>
        <w:t>The following alternative explanations have been considered:</w:t>
      </w:r>
    </w:p>
    <w:p>
      <w:pPr>
        <w:pStyle w:val="Normal"/>
        <w:spacing w:lineRule="auto" w:line="276" w:before="0" w:after="173"/>
        <w:jc w:val="both"/>
        <w:rPr>
          <w:sz w:val="22"/>
          <w:szCs w:val="22"/>
        </w:rPr>
      </w:pPr>
      <w:r>
        <w:rPr>
          <w:rFonts w:eastAsia="Arial" w:cs="Arial"/>
          <w:b/>
          <w:bCs/>
          <w:sz w:val="22"/>
          <w:szCs w:val="22"/>
        </w:rPr>
        <w:t xml:space="preserve">Template reuse: </w:t>
      </w:r>
      <w:r>
        <w:rPr>
          <w:rFonts w:eastAsia="Arial" w:cs="Arial"/>
          <w:sz w:val="22"/>
          <w:szCs w:val="22"/>
        </w:rPr>
        <w:t>It is common practice to create documents from templates. However, template reuse explains identical formatting, not identical XMP creation timestamps across documents for different defendants filed years apart. The XMP create date reflects when the specific file was created, not when its template was designed.</w:t>
      </w:r>
    </w:p>
    <w:p>
      <w:pPr>
        <w:pStyle w:val="Normal"/>
        <w:spacing w:lineRule="auto" w:line="276" w:before="0" w:after="173"/>
        <w:jc w:val="both"/>
        <w:rPr>
          <w:sz w:val="22"/>
          <w:szCs w:val="22"/>
        </w:rPr>
      </w:pPr>
      <w:r>
        <w:rPr>
          <w:rFonts w:eastAsia="Arial" w:cs="Arial"/>
          <w:b/>
          <w:bCs/>
          <w:sz w:val="22"/>
          <w:szCs w:val="22"/>
        </w:rPr>
        <w:t xml:space="preserve">Metadata modification: </w:t>
      </w:r>
      <w:r>
        <w:rPr>
          <w:rFonts w:eastAsia="Arial" w:cs="Arial"/>
          <w:sz w:val="22"/>
          <w:szCs w:val="22"/>
        </w:rPr>
        <w:t>PDF metadata can be modified after creation. However, modification would require deliberate action and would itself raise questions about document integrity. Additionally, the iText pipeline stamp confirms these documents passed through the official court e-filing system.</w:t>
      </w:r>
    </w:p>
    <w:p>
      <w:pPr>
        <w:pStyle w:val="Normal"/>
        <w:spacing w:lineRule="auto" w:line="276" w:before="0" w:after="173"/>
        <w:jc w:val="both"/>
        <w:rPr>
          <w:sz w:val="22"/>
          <w:szCs w:val="22"/>
        </w:rPr>
      </w:pPr>
      <w:r>
        <w:rPr>
          <w:rFonts w:eastAsia="Arial" w:cs="Arial"/>
          <w:b/>
          <w:bCs/>
          <w:sz w:val="22"/>
          <w:szCs w:val="22"/>
        </w:rPr>
        <w:t xml:space="preserve">Clock drift or timezone errors: </w:t>
      </w:r>
      <w:r>
        <w:rPr>
          <w:rFonts w:eastAsia="Arial" w:cs="Arial"/>
          <w:sz w:val="22"/>
          <w:szCs w:val="22"/>
        </w:rPr>
        <w:t>Clock drift accounts for seconds or minutes of discrepancy, not 168 days (the gap between the earliest creation date and the software release). Timezone errors account for at most 24 hours. Neither explains pre-release creation dates.</w:t>
      </w:r>
    </w:p>
    <w:p>
      <w:pPr>
        <w:pStyle w:val="Normal"/>
        <w:spacing w:lineRule="auto" w:line="276" w:before="0" w:after="173"/>
        <w:jc w:val="both"/>
        <w:rPr>
          <w:sz w:val="22"/>
          <w:szCs w:val="22"/>
        </w:rPr>
      </w:pPr>
      <w:r>
        <w:rPr>
          <w:rFonts w:eastAsia="Arial" w:cs="Arial"/>
          <w:b/>
          <w:bCs/>
          <w:sz w:val="22"/>
          <w:szCs w:val="22"/>
        </w:rPr>
        <w:t xml:space="preserve">Software version misidentification: </w:t>
      </w:r>
      <w:r>
        <w:rPr>
          <w:rFonts w:eastAsia="Arial" w:cs="Arial"/>
          <w:sz w:val="22"/>
          <w:szCs w:val="22"/>
        </w:rPr>
        <w:t>The producer string “Aspose.Words for .NET 14.2.0.0” is embedded by the software itself during document creation. Aspose does not allow users to arbitrarily set this value. A different version would produce a different string.</w:t>
      </w:r>
    </w:p>
    <w:p>
      <w:pPr>
        <w:pStyle w:val="Normal"/>
        <w:spacing w:lineRule="auto" w:line="276" w:before="0" w:after="346"/>
        <w:jc w:val="both"/>
        <w:rPr>
          <w:sz w:val="22"/>
          <w:szCs w:val="22"/>
        </w:rPr>
      </w:pPr>
      <w:r>
        <w:rPr>
          <w:rFonts w:eastAsia="Arial" w:cs="Arial"/>
          <w:b/>
          <w:bCs/>
          <w:sz w:val="22"/>
          <w:szCs w:val="22"/>
        </w:rPr>
        <w:t xml:space="preserve">Corpus selection bias: </w:t>
      </w:r>
      <w:r>
        <w:rPr>
          <w:rFonts w:eastAsia="Arial" w:cs="Arial"/>
          <w:sz w:val="22"/>
          <w:szCs w:val="22"/>
        </w:rPr>
        <w:t>The MCRO corpus was assembled from public court records for Fourth Judicial District cases. It is not a random sample of all Minnesota courts. The incompetency rates, NIP frequencies, and other pipeline statistics apply to the corpus population and should not be extrapolated without additional data.</w:t>
      </w:r>
    </w:p>
    <w:p>
      <w:pPr>
        <w:pStyle w:val="Heading3"/>
        <w:spacing w:before="158" w:after="202"/>
        <w:rPr>
          <w:color w:val="1F3864"/>
        </w:rPr>
      </w:pPr>
      <w:r>
        <w:rPr>
          <w:color w:val="1F3864"/>
        </w:rPr>
        <w:t>RECOMMENDATIONS FOR INDEPENDENT VERIFICATION</w:t>
      </w:r>
    </w:p>
    <w:p>
      <w:pPr>
        <w:pStyle w:val="Normal"/>
        <w:spacing w:lineRule="auto" w:line="276" w:before="0" w:after="120"/>
        <w:jc w:val="both"/>
        <w:rPr>
          <w:sz w:val="22"/>
          <w:szCs w:val="22"/>
        </w:rPr>
      </w:pPr>
      <w:r>
        <w:rPr>
          <w:rFonts w:eastAsia="Arial" w:cs="Arial"/>
          <w:b w:val="false"/>
          <w:bCs w:val="false"/>
          <w:i w:val="false"/>
          <w:iCs w:val="false"/>
          <w:sz w:val="22"/>
          <w:szCs w:val="22"/>
        </w:rPr>
        <w:t>1. Obtain original pre-MCRO versions of the 27 Aspose documents from the court’s internal document management system (Tyler Technologies Odyssey). Compare their XMP metadata against the MCRO-served versions.</w:t>
      </w:r>
    </w:p>
    <w:p>
      <w:pPr>
        <w:pStyle w:val="Normal"/>
        <w:spacing w:lineRule="exact" w:line="276" w:before="0" w:after="173"/>
        <w:jc w:val="both"/>
        <w:rPr>
          <w:sz w:val="22"/>
          <w:szCs w:val="22"/>
        </w:rPr>
      </w:pPr>
      <w:r>
        <w:rPr>
          <w:rFonts w:eastAsia="Arial" w:cs="Arial"/>
          <w:b w:val="false"/>
          <w:bCs w:val="false"/>
          <w:i w:val="false"/>
          <w:iCs w:val="false"/>
          <w:sz w:val="22"/>
          <w:szCs w:val="22"/>
        </w:rPr>
        <w:t>2. Request the Aspose.Words license records from the Hennepin County Attorney’s Office or the Fourth Judicial District to determine which entity holds the Aspose license that produced these documents.</w:t>
      </w:r>
    </w:p>
    <w:p>
      <w:pPr>
        <w:pStyle w:val="Normal"/>
        <w:spacing w:lineRule="exact" w:line="276" w:before="0" w:after="173"/>
        <w:jc w:val="both"/>
        <w:rPr>
          <w:sz w:val="22"/>
          <w:szCs w:val="22"/>
        </w:rPr>
      </w:pPr>
      <w:r>
        <w:rPr>
          <w:rFonts w:eastAsia="Arial" w:cs="Arial"/>
          <w:b w:val="false"/>
          <w:bCs w:val="false"/>
          <w:i w:val="false"/>
          <w:iCs w:val="false"/>
          <w:sz w:val="22"/>
          <w:szCs w:val="22"/>
        </w:rPr>
        <w:t>3. Verify the Aspose.Words 14.2.0.0 release date from Aspose’s public release history and NuGet package archives.</w:t>
      </w:r>
    </w:p>
    <w:p>
      <w:pPr>
        <w:pStyle w:val="Normal"/>
        <w:spacing w:lineRule="exact" w:line="276" w:before="0" w:after="173"/>
        <w:jc w:val="both"/>
        <w:rPr>
          <w:sz w:val="22"/>
          <w:szCs w:val="22"/>
        </w:rPr>
      </w:pPr>
      <w:r>
        <w:rPr>
          <w:rFonts w:eastAsia="Arial" w:cs="Arial"/>
          <w:b w:val="false"/>
          <w:bCs w:val="false"/>
          <w:i w:val="false"/>
          <w:iCs w:val="false"/>
          <w:sz w:val="22"/>
          <w:szCs w:val="22"/>
        </w:rPr>
        <w:t>4. Query the court’s document management system for all “Notice of Intent to Prosecute” filings district-wide (not limited to the MCRO corpus) and examine their creation metadata for the same frozen timestamp patterns.</w:t>
      </w:r>
    </w:p>
    <w:p>
      <w:pPr>
        <w:pStyle w:val="Normal"/>
        <w:spacing w:lineRule="exact" w:line="276" w:before="0" w:after="173"/>
        <w:jc w:val="both"/>
        <w:rPr>
          <w:sz w:val="22"/>
          <w:szCs w:val="22"/>
        </w:rPr>
      </w:pPr>
      <w:r>
        <w:rPr>
          <w:rFonts w:eastAsia="Arial" w:cs="Arial"/>
          <w:b w:val="false"/>
          <w:bCs w:val="false"/>
          <w:i w:val="false"/>
          <w:iCs w:val="false"/>
          <w:sz w:val="22"/>
          <w:szCs w:val="22"/>
        </w:rPr>
        <w:t>5. Retain a credentialed digital forensics examiner (CFCE, EnCE, or equivalent) to independently verify the PDF metadata findings using the SHA256-anchored evidence chain.</w:t>
      </w:r>
    </w:p>
    <w:p>
      <w:pPr>
        <w:pStyle w:val="Normal"/>
        <w:spacing w:lineRule="exact" w:line="276" w:before="0" w:after="173"/>
        <w:jc w:val="both"/>
        <w:rPr>
          <w:sz w:val="22"/>
          <w:szCs w:val="22"/>
        </w:rPr>
      </w:pPr>
      <w:r>
        <w:rPr>
          <w:rFonts w:eastAsia="Arial" w:cs="Arial"/>
          <w:b w:val="false"/>
          <w:bCs w:val="false"/>
          <w:i w:val="false"/>
          <w:iCs w:val="false"/>
          <w:sz w:val="22"/>
          <w:szCs w:val="22"/>
        </w:rPr>
        <w:t>6. Review the OpenTimestamps blockchain anchoring for the complete corpus to confirm that the examined files have not been modified since anchoring.</w:t>
      </w:r>
      <w:r>
        <w:br w:type="page"/>
      </w:r>
    </w:p>
    <w:p>
      <w:pPr>
        <w:pStyle w:val="Heading1"/>
        <w:spacing w:lineRule="exact" w:line="276" w:before="86" w:after="115"/>
        <w:rPr>
          <w:sz w:val="24"/>
          <w:szCs w:val="24"/>
        </w:rPr>
      </w:pPr>
      <w:r>
        <w:rPr>
          <w:rFonts w:eastAsia="Arial" w:cs="Arial" w:ascii="Arial" w:hAnsi="Arial"/>
          <w:b/>
          <w:bCs/>
          <w:i w:val="false"/>
          <w:iCs w:val="false"/>
          <w:sz w:val="24"/>
          <w:szCs w:val="24"/>
        </w:rPr>
        <w:t>APPENDIX | REPRODUCIBLE SQL QUERIES</w:t>
      </w:r>
    </w:p>
    <w:p>
      <w:pPr>
        <w:pStyle w:val="Normal"/>
        <w:spacing w:lineRule="exact" w:line="276" w:before="0" w:after="120"/>
        <w:jc w:val="both"/>
        <w:rPr>
          <w:sz w:val="22"/>
          <w:szCs w:val="22"/>
        </w:rPr>
      </w:pPr>
      <w:r>
        <w:rPr>
          <w:rFonts w:eastAsia="Arial" w:cs="Arial"/>
          <w:b w:val="false"/>
          <w:bCs w:val="false"/>
          <w:i w:val="false"/>
          <w:iCs w:val="false"/>
          <w:sz w:val="22"/>
          <w:szCs w:val="22"/>
        </w:rPr>
        <w:t>All queries below are SELECT-only and can be executed against the MCRO forensic database (Supabase project ibfmjtwahkwqzcmeyqii, region us-west-2).</w:t>
      </w:r>
    </w:p>
    <w:p>
      <w:pPr>
        <w:pStyle w:val="Heading3"/>
        <w:spacing w:lineRule="exact" w:line="276" w:before="0" w:after="144"/>
        <w:rPr>
          <w:sz w:val="22"/>
          <w:szCs w:val="22"/>
        </w:rPr>
      </w:pPr>
      <w:r>
        <w:rPr>
          <w:rFonts w:eastAsia="Arial" w:cs="Arial" w:ascii="Arial" w:hAnsi="Arial"/>
          <w:b/>
          <w:bCs/>
          <w:i w:val="false"/>
          <w:iCs w:val="false"/>
          <w:sz w:val="22"/>
          <w:szCs w:val="22"/>
        </w:rPr>
        <w:t>A1 — Aspose Cohort Universe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SELECT COUNT(*) AS total_docs,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COUNT(DISTINCT case_id) AS distinct_cases,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COUNT(DISTINCT cluster_id) AS distinct_clusters,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COUNT(DISTINCT cluster_name) AS distinct_defendants,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COUNT(DISTINCT filing_type) AS distinct_filing_types,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MIN(filing_date) AS earliest_filing,</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MAX(filing_date) AS latest_filing,</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MIN(metadata__xmp_create_date) AS earliest_create,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MAX(metadata__xmp_create_date) AS latest_create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FROM children</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WHERE metadata__xmp_producer ILIKE '%Aspose%';</w:t>
      </w:r>
    </w:p>
    <w:p>
      <w:pPr>
        <w:pStyle w:val="Normal"/>
        <w:spacing w:lineRule="exact" w:line="276" w:before="0" w:after="120"/>
        <w:rPr>
          <w:sz w:val="20"/>
          <w:szCs w:val="20"/>
        </w:rPr>
      </w:pPr>
      <w:r>
        <w:rPr>
          <w:sz w:val="20"/>
          <w:szCs w:val="20"/>
        </w:rPr>
      </w:r>
    </w:p>
    <w:p>
      <w:pPr>
        <w:pStyle w:val="Heading3"/>
        <w:spacing w:lineRule="exact" w:line="276" w:before="0" w:after="144"/>
        <w:rPr>
          <w:sz w:val="22"/>
          <w:szCs w:val="22"/>
        </w:rPr>
      </w:pPr>
      <w:r>
        <w:rPr>
          <w:rFonts w:eastAsia="Arial" w:cs="Arial" w:ascii="Arial" w:hAnsi="Arial"/>
          <w:b/>
          <w:bCs/>
          <w:i w:val="false"/>
          <w:iCs w:val="false"/>
          <w:sz w:val="22"/>
          <w:szCs w:val="22"/>
        </w:rPr>
        <w:t>A2 — Frozen Timestamp Clusters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SELECT date_trunc('minute', metadata__xmp_create_date) AS frozen_ts,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 AS doc_count,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COUNT(DISTINCT cluster_id) AS defendant_count,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COUNT(DISTINCT case_id) AS case_count,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array_agg(DISTINCT filing_type ORDER BY filing_type) AS filing_types,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MIN(filing_date) AS earliest_filing,</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MAX(filing_date) AS latest_filing,</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MAX(filing_date) - MIN(filing_date) AS filing_span_days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FROM children</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WHERE metadata__xmp_producer ILIKE '%Aspose%'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GROUP BY date_trunc('minute', metadata__xmp_create_date)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HAVING COUNT(*) &gt;= 2</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ORDER BY frozen_ts ASC;</w:t>
      </w:r>
    </w:p>
    <w:p>
      <w:pPr>
        <w:pStyle w:val="Normal"/>
        <w:spacing w:lineRule="exact" w:line="276" w:before="0" w:after="120"/>
        <w:rPr/>
      </w:pPr>
      <w:r>
        <w:rPr/>
      </w:r>
    </w:p>
    <w:p>
      <w:pPr>
        <w:pStyle w:val="Heading3"/>
        <w:spacing w:lineRule="exact" w:line="276" w:before="0" w:after="144"/>
        <w:rPr>
          <w:sz w:val="22"/>
          <w:szCs w:val="22"/>
        </w:rPr>
      </w:pPr>
      <w:r>
        <w:rPr>
          <w:rFonts w:eastAsia="Arial" w:cs="Arial" w:ascii="Arial" w:hAnsi="Arial"/>
          <w:b/>
          <w:bCs/>
          <w:i w:val="false"/>
          <w:iCs w:val="false"/>
          <w:sz w:val="22"/>
          <w:szCs w:val="22"/>
        </w:rPr>
        <w:t>A3 — Full Aspose Cohort with Gap Calculations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SELECT cluster_name, case_id, filing_type, filing_date,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metadata__xmp_create_date,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filing_date - metadata__xmp_create_date::date AS gap_days,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filename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FROM children</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WHERE metadata__xmp_producer ILIKE '%Aspose%'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ORDER BY metadata__xmp_create_date ASC, filing_date ASC;</w:t>
      </w:r>
    </w:p>
    <w:p>
      <w:pPr>
        <w:pStyle w:val="Normal"/>
        <w:spacing w:lineRule="exact" w:line="276" w:before="0" w:after="120"/>
        <w:rPr>
          <w:sz w:val="20"/>
          <w:szCs w:val="20"/>
        </w:rPr>
      </w:pPr>
      <w:r>
        <w:rPr>
          <w:sz w:val="20"/>
          <w:szCs w:val="20"/>
        </w:rPr>
      </w:r>
    </w:p>
    <w:p>
      <w:pPr>
        <w:pStyle w:val="Heading3"/>
        <w:spacing w:lineRule="exact" w:line="276" w:before="0" w:after="144"/>
        <w:rPr>
          <w:sz w:val="22"/>
          <w:szCs w:val="22"/>
        </w:rPr>
      </w:pPr>
      <w:r>
        <w:rPr>
          <w:rFonts w:eastAsia="Arial" w:cs="Arial" w:ascii="Arial" w:hAnsi="Arial"/>
          <w:b/>
          <w:bCs/>
          <w:i w:val="false"/>
          <w:iCs w:val="false"/>
          <w:sz w:val="22"/>
          <w:szCs w:val="22"/>
        </w:rPr>
        <w:t>A6 — CR Incompetency Rate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SELECT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COUNT(DISTINCT c.case_id)</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FILTER (WHERE c.filing_type = 'Finding of Incompetency and Order')</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AS cases_with_incompetency,</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COUNT(DISTINCT c.case_id) AS total_cases_with_docs,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ROUND(COUNT(DISTINCT c.case_id)</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FILTER (WHERE c.filing_type = 'Finding of Incompetency and Order')::numeric</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 NULLIF(COUNT(DISTINCT c.case_id), 0) * 100, 1) AS incompetency_pct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FROM children c</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WHERE c.case_type ILIKE '%CR%';</w:t>
      </w:r>
    </w:p>
    <w:p>
      <w:pPr>
        <w:pStyle w:val="Normal"/>
        <w:spacing w:lineRule="exact" w:line="276" w:before="0" w:after="120"/>
        <w:rPr/>
      </w:pPr>
      <w:r>
        <w:rPr/>
      </w:r>
    </w:p>
    <w:p>
      <w:pPr>
        <w:pStyle w:val="Heading3"/>
        <w:spacing w:lineRule="exact" w:line="276" w:before="0" w:after="144"/>
        <w:rPr>
          <w:sz w:val="22"/>
          <w:szCs w:val="22"/>
        </w:rPr>
      </w:pPr>
      <w:r>
        <w:rPr>
          <w:rFonts w:eastAsia="Arial" w:cs="Arial" w:ascii="Arial" w:hAnsi="Arial"/>
          <w:b/>
          <w:bCs/>
          <w:i w:val="false"/>
          <w:iCs w:val="false"/>
          <w:sz w:val="22"/>
          <w:szCs w:val="22"/>
        </w:rPr>
        <w:t>A7 — Notice of Intent to Prosecute: Corpus-Wide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SELECT COUNT(*) AS total_notices,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COUNT(DISTINCT case_id) AS distinct_cases,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COUNT(DISTINCT cluster_id) AS distinct_defendants,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MIN(filing_date) AS earliest,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MAX(filing_date) AS latest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FROM children</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WHERE filing_type = 'Notice of Intent to Prosecute';</w:t>
      </w:r>
    </w:p>
    <w:p>
      <w:pPr>
        <w:pStyle w:val="Normal"/>
        <w:spacing w:lineRule="exact" w:line="276" w:before="0" w:after="120"/>
        <w:rPr/>
      </w:pPr>
      <w:r>
        <w:rPr/>
      </w:r>
    </w:p>
    <w:p>
      <w:pPr>
        <w:pStyle w:val="Heading3"/>
        <w:spacing w:lineRule="exact" w:line="276" w:before="0" w:after="144"/>
        <w:rPr>
          <w:sz w:val="22"/>
          <w:szCs w:val="22"/>
        </w:rPr>
      </w:pPr>
      <w:r>
        <w:rPr>
          <w:rFonts w:eastAsia="Arial" w:cs="Arial" w:ascii="Arial" w:hAnsi="Arial"/>
          <w:b/>
          <w:bCs/>
          <w:i w:val="false"/>
          <w:iCs w:val="false"/>
          <w:sz w:val="22"/>
          <w:szCs w:val="22"/>
        </w:rPr>
        <w:t>A8 — NIP: Aspose vs. Non-Aspose Breakdown</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SELECT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CASE WHEN metadata__xmp_producer ILIKE '%Aspose%'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THEN 'Aspose' ELSE 'Non-Aspose' END AS producer_type,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 AS doc_count,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COUNT(DISTINCT case_id) AS cases,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COUNT(DISTINCT cluster_id) AS defendants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FROM children</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WHERE filing_type = 'Notice of Intent to Prosecute'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GROUP BY 1;</w:t>
      </w:r>
    </w:p>
    <w:p>
      <w:pPr>
        <w:pStyle w:val="Normal"/>
        <w:spacing w:lineRule="exact" w:line="276" w:before="0" w:after="120"/>
        <w:rPr/>
      </w:pPr>
      <w:r>
        <w:rPr/>
      </w:r>
    </w:p>
    <w:p>
      <w:pPr>
        <w:pStyle w:val="Heading3"/>
        <w:spacing w:lineRule="exact" w:line="276" w:before="0" w:after="144"/>
        <w:rPr>
          <w:sz w:val="22"/>
          <w:szCs w:val="22"/>
        </w:rPr>
      </w:pPr>
      <w:r>
        <w:rPr>
          <w:rFonts w:eastAsia="Arial" w:cs="Arial" w:ascii="Arial" w:hAnsi="Arial"/>
          <w:b/>
          <w:bCs/>
          <w:i w:val="false"/>
          <w:iCs w:val="false"/>
          <w:sz w:val="22"/>
          <w:szCs w:val="22"/>
        </w:rPr>
        <w:t>A9 — Incompetency-to-NIP Pipeline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SELECT c1.cluster_id, c1.cluster_name,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MIN(c1.filing_date) AS first_incompetency,</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MIN(c2.filing_date) AS first_notice_intent,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MIN(c2.filing_date) - MIN(c1.filing_date) AS days_between</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FROM children c1</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JOIN children c2 ON c1.cluster_id = c2.cluster_id</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WHERE c1.filing_type = 'Finding of Incompetency and Order'</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AND c2.filing_type = 'Notice of Intent to Prosecute'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GROUP BY c1.cluster_id, c1.cluster_name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ORDER BY days_between ASC;</w:t>
      </w:r>
    </w:p>
    <w:p>
      <w:pPr>
        <w:pStyle w:val="Normal"/>
        <w:spacing w:lineRule="exact" w:line="276" w:before="0" w:after="120"/>
        <w:rPr/>
      </w:pPr>
      <w:r>
        <w:rPr/>
      </w:r>
    </w:p>
    <w:p>
      <w:pPr>
        <w:pStyle w:val="Heading3"/>
        <w:spacing w:lineRule="exact" w:line="276" w:before="0" w:after="144"/>
        <w:rPr>
          <w:sz w:val="22"/>
          <w:szCs w:val="22"/>
        </w:rPr>
      </w:pPr>
      <w:r>
        <w:rPr>
          <w:rFonts w:eastAsia="Arial" w:cs="Arial" w:ascii="Arial" w:hAnsi="Arial"/>
          <w:b/>
          <w:bCs/>
          <w:i w:val="false"/>
          <w:iCs w:val="false"/>
          <w:sz w:val="22"/>
          <w:szCs w:val="22"/>
        </w:rPr>
        <w:t>A11 — Cross-Dimensional Overlap</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WITH aspose_clusters AS (</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SELECT DISTINCT cluster_id, cluster_name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FROM children WHERE metadata__xmp_producer ILIKE '%Aspose%'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esolutions AS (</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SELECT DISTINCT c.cluster_id</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FROM children_signatures_full_report 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JOIN children c ON c.evidence_uid = s.evidence_uid</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WHERE s.signer_name ILIKE '%ESolutions%'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incompetency AS (</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SELECT DISTINCT cluster_id FROM children</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WHERE filing_type = 'Finding of Incompetency and Order'</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r20_events AS (</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SELECT DISTINCT cr.cluster_id</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FROM parents_case_events pce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JOIN parents p ON pce.case_uid = p.case_uid</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JOIN case_registry cr ON cr.case_uid = p.case_uid</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WHERE pce.event_name ILIKE '%Rule 20%'</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OR pce.event_name ILIKE '%competency%'</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SELECT a.cluster_name,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CASE WHEN e.cluster_id IS NOT NULL THEN 'Y' ELSE '' END AS esolutions,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CASE WHEN i.cluster_id IS NOT NULL THEN 'Y' ELSE '' END AS incompetency,</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CASE WHEN r.cluster_id IS NOT NULL THEN 'Y' ELSE '' END AS r20_events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FROM aspose_clusters a</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LEFT JOIN esolutions e ON a.cluster_id = e.cluster_id</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LEFT JOIN incompetency i ON a.cluster_id = i.cluster_id</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LEFT JOIN r20_events r ON a.cluster_id = r.cluster_id</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ORDER BY a.cluster_name;</w:t>
      </w:r>
    </w:p>
    <w:p>
      <w:pPr>
        <w:pStyle w:val="Normal"/>
        <w:spacing w:lineRule="exact" w:line="276" w:before="0" w:after="120"/>
        <w:rPr/>
      </w:pPr>
      <w:r>
        <w:rPr/>
      </w:r>
    </w:p>
    <w:p>
      <w:pPr>
        <w:pStyle w:val="Heading3"/>
        <w:spacing w:lineRule="exact" w:line="276" w:before="0" w:after="144"/>
        <w:rPr>
          <w:sz w:val="22"/>
          <w:szCs w:val="22"/>
        </w:rPr>
      </w:pPr>
      <w:r>
        <w:rPr>
          <w:rFonts w:eastAsia="Arial" w:cs="Arial" w:ascii="Arial" w:hAnsi="Arial"/>
          <w:b/>
          <w:bCs/>
          <w:i w:val="false"/>
          <w:iCs w:val="false"/>
          <w:sz w:val="22"/>
          <w:szCs w:val="22"/>
        </w:rPr>
        <w:t>A13 — iText Pipeline on Aspose Documents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SELECT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 FILTER (WHERE metadata__xmp_producer ILIKE '%iText%7.1.16%')</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AS itext_stamped,</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 AS total_aspose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FROM children</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WHERE metadata__xmp_producer ILIKE '%Aspose%';</w:t>
      </w:r>
    </w:p>
    <w:p>
      <w:pPr>
        <w:pStyle w:val="Normal"/>
        <w:spacing w:lineRule="exact" w:line="276" w:before="0" w:after="120"/>
        <w:rPr/>
      </w:pPr>
      <w:r>
        <w:rPr/>
      </w:r>
    </w:p>
    <w:p>
      <w:pPr>
        <w:pStyle w:val="Heading3"/>
        <w:spacing w:lineRule="exact" w:line="276" w:before="0" w:after="144"/>
        <w:rPr>
          <w:sz w:val="22"/>
          <w:szCs w:val="22"/>
        </w:rPr>
      </w:pPr>
      <w:r>
        <w:rPr>
          <w:rFonts w:eastAsia="Arial" w:cs="Arial" w:ascii="Arial" w:hAnsi="Arial"/>
          <w:b/>
          <w:bCs/>
          <w:i w:val="false"/>
          <w:iCs w:val="false"/>
          <w:sz w:val="22"/>
          <w:szCs w:val="22"/>
        </w:rPr>
        <w:t>A14 — Corpus-Wide iText Coverage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SELECT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 FILTER (WHERE metadata__xmp_producer ILIKE '%iText%7.1.16%')</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AS itext_total,</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COUNT(*) AS corpus_total,</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ROUND(COUNT(*) FILTER</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(WHERE metadata__xmp_producer ILIKE '%iText%7.1.16%')::numeric</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 COUNT(*) * 100, 1) AS pct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FROM children;</w:t>
      </w:r>
    </w:p>
    <w:p>
      <w:pPr>
        <w:pStyle w:val="Normal"/>
        <w:spacing w:lineRule="exact" w:line="276" w:before="0" w:after="120"/>
        <w:rPr/>
      </w:pPr>
      <w:r>
        <w:rPr/>
      </w:r>
    </w:p>
    <w:p>
      <w:pPr>
        <w:pStyle w:val="Heading3"/>
        <w:spacing w:lineRule="exact" w:line="276" w:before="0" w:after="144"/>
        <w:rPr>
          <w:sz w:val="22"/>
          <w:szCs w:val="22"/>
        </w:rPr>
      </w:pPr>
      <w:r>
        <w:rPr>
          <w:rFonts w:eastAsia="Arial" w:cs="Arial" w:ascii="Arial" w:hAnsi="Arial"/>
          <w:b/>
          <w:bCs/>
          <w:i w:val="false"/>
          <w:iCs w:val="false"/>
          <w:sz w:val="22"/>
          <w:szCs w:val="22"/>
        </w:rPr>
        <w:t>A15 — McGIRL Filing Details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SELECT filename, case_id, cluster_name, filing_type, filing_date,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metadata__xmp_create_date,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filing_date - metadata__xmp_create_date::date AS gap_days</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FROM children</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WHERE metadata__xmp_producer ILIKE '%Aspose%'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 xml:space="preserve">  </w:t>
      </w:r>
      <w:r>
        <w:rPr>
          <w:rFonts w:eastAsia="Courier New" w:cs="Courier New" w:ascii="Courier New" w:hAnsi="Courier New"/>
          <w:sz w:val="20"/>
          <w:szCs w:val="20"/>
        </w:rPr>
        <w:t>AND cluster_name ILIKE '%McGIRL%';</w:t>
      </w:r>
    </w:p>
    <w:p>
      <w:pPr>
        <w:pStyle w:val="Normal"/>
        <w:spacing w:lineRule="exact" w:line="276" w:before="0" w:after="120"/>
        <w:rPr/>
      </w:pPr>
      <w:r>
        <w:rPr/>
      </w:r>
    </w:p>
    <w:p>
      <w:pPr>
        <w:pStyle w:val="Heading3"/>
        <w:spacing w:lineRule="exact" w:line="276" w:before="0" w:after="144"/>
        <w:rPr>
          <w:sz w:val="22"/>
          <w:szCs w:val="22"/>
        </w:rPr>
      </w:pPr>
      <w:r>
        <w:rPr>
          <w:rFonts w:eastAsia="Arial" w:cs="Arial" w:ascii="Arial" w:hAnsi="Arial"/>
          <w:b/>
          <w:bCs/>
          <w:i w:val="false"/>
          <w:iCs w:val="false"/>
          <w:sz w:val="22"/>
          <w:szCs w:val="22"/>
        </w:rPr>
        <w:t>A16 — McGIRL Full Docket</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SELECT pce.event_json__date AS event_date, pce.event_name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FROM parents_case_events pce</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JOIN parents p ON pce.case_uid = p.case_uid</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WHERE p.case_id = '27-CR-20-20866'</w:t>
      </w:r>
    </w:p>
    <w:p>
      <w:pPr>
        <w:pStyle w:val="Normal"/>
        <w:shd w:val="clear" w:fill="F2F2F2"/>
        <w:spacing w:lineRule="exact" w:line="220" w:before="0" w:after="0"/>
        <w:ind w:left="240" w:hanging="0"/>
        <w:rPr>
          <w:sz w:val="20"/>
          <w:szCs w:val="20"/>
        </w:rPr>
      </w:pPr>
      <w:r>
        <w:rPr>
          <w:rFonts w:eastAsia="Courier New" w:cs="Courier New" w:ascii="Courier New" w:hAnsi="Courier New"/>
          <w:sz w:val="20"/>
          <w:szCs w:val="20"/>
        </w:rPr>
        <w:t>ORDER BY pce.event_json__date ASC, pce.event_index DESC;</w:t>
      </w:r>
    </w:p>
    <w:p>
      <w:pPr>
        <w:pStyle w:val="Normal"/>
        <w:spacing w:lineRule="exact" w:line="276" w:before="0" w:after="120"/>
        <w:rPr/>
      </w:pPr>
      <w:r>
        <w:rPr/>
      </w:r>
    </w:p>
    <w:sectPr>
      <w:headerReference w:type="default" r:id="rId15"/>
      <w:footerReference w:type="default" r:id="rId16"/>
      <w:type w:val="nextPage"/>
      <w:pgSz w:w="12240" w:h="15840"/>
      <w:pgMar w:left="1080" w:right="1080" w:gutter="0" w:header="708" w:top="1080" w:footer="708" w:bottom="108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Arial">
    <w:charset w:val="01"/>
    <w:family w:val="swiss"/>
    <w:pitch w:val="variable"/>
  </w:font>
  <w:font w:name="Liberation Sans">
    <w:altName w:val="Arial"/>
    <w:charset w:val="01"/>
    <w:family w:val="roman"/>
    <w:pitch w:val="variable"/>
  </w:font>
  <w:font w:name="Courier New">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1" w:color="1F3864"/>
      </w:pBdr>
      <w:tabs>
        <w:tab w:val="clear" w:pos="720"/>
        <w:tab w:val="right" w:pos="9026" w:leader="none"/>
      </w:tabs>
      <w:rPr/>
    </w:pPr>
    <w:r>
      <w:rPr>
        <w:rFonts w:eastAsia="Arial" w:cs="Arial"/>
        <w:color w:val="666666"/>
        <w:sz w:val="14"/>
        <w:szCs w:val="14"/>
      </w:rPr>
      <w:t>Source: Matthew Guertin v. State of Minnesota | 27-CR-23-1886 | MCRO Forensic Database | MattGuertin.com</w:t>
      <w:tab/>
      <w:t xml:space="preserve">Page </w:t>
    </w:r>
    <w:r>
      <w:rPr/>
      <w:fldChar w:fldCharType="begin"/>
    </w:r>
    <w:r>
      <w:rPr/>
      <w:instrText xml:space="preserve"> PAGE </w:instrText>
    </w:r>
    <w:r>
      <w:rPr/>
      <w:fldChar w:fldCharType="separate"/>
    </w:r>
    <w:r>
      <w:rPr/>
      <w:t>24</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6" w:space="1" w:color="1F3864"/>
      </w:pBdr>
      <w:tabs>
        <w:tab w:val="clear" w:pos="720"/>
        <w:tab w:val="right" w:pos="9026" w:leader="none"/>
      </w:tabs>
      <w:rPr/>
    </w:pPr>
    <w:r>
      <w:rPr>
        <w:rFonts w:eastAsia="Arial" w:cs="Arial"/>
        <w:b/>
        <w:bCs/>
        <w:color w:val="1F3864"/>
        <w:sz w:val="16"/>
        <w:szCs w:val="16"/>
      </w:rPr>
      <w:t>MCRO | Aspose Software Impossibility × Competency Statute Convergence</w:t>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Arial" w:cs="Arial"/>
      <w:color w:val="auto"/>
      <w:kern w:val="0"/>
      <w:sz w:val="20"/>
      <w:szCs w:val="20"/>
      <w:lang w:val="en-US" w:eastAsia="zh-CN" w:bidi="hi-IN"/>
    </w:rPr>
  </w:style>
  <w:style w:type="paragraph" w:styleId="Heading1">
    <w:name w:val="Heading 1"/>
    <w:basedOn w:val="Heading"/>
    <w:qFormat/>
    <w:pPr>
      <w:spacing w:before="240" w:after="200"/>
      <w:outlineLvl w:val="0"/>
    </w:pPr>
    <w:rPr>
      <w:rFonts w:ascii="Arial" w:hAnsi="Arial" w:eastAsia="Arial" w:cs="Arial"/>
      <w:b/>
      <w:bCs/>
      <w:color w:val="1F3864"/>
      <w:sz w:val="32"/>
      <w:szCs w:val="32"/>
    </w:rPr>
  </w:style>
  <w:style w:type="paragraph" w:styleId="Heading2">
    <w:name w:val="Heading 2"/>
    <w:basedOn w:val="Heading"/>
    <w:qFormat/>
    <w:pPr>
      <w:spacing w:before="200" w:after="160"/>
      <w:outlineLvl w:val="1"/>
    </w:pPr>
    <w:rPr>
      <w:rFonts w:ascii="Arial" w:hAnsi="Arial" w:eastAsia="Arial" w:cs="Arial"/>
      <w:b/>
      <w:bCs/>
      <w:color w:val="1F3864"/>
      <w:sz w:val="28"/>
      <w:szCs w:val="28"/>
    </w:rPr>
  </w:style>
  <w:style w:type="paragraph" w:styleId="Heading3">
    <w:name w:val="Heading 3"/>
    <w:basedOn w:val="Heading"/>
    <w:qFormat/>
    <w:pPr>
      <w:spacing w:before="160" w:after="120"/>
      <w:outlineLvl w:val="2"/>
    </w:pPr>
    <w:rPr>
      <w:rFonts w:ascii="Arial" w:hAnsi="Arial" w:eastAsia="Arial" w:cs="Arial"/>
      <w:b/>
      <w:bCs/>
      <w:color w:val="1F3864"/>
      <w:sz w:val="24"/>
      <w:szCs w:val="24"/>
    </w:rPr>
  </w:style>
  <w:style w:type="paragraph" w:styleId="Heading4">
    <w:name w:val="Heading 4"/>
    <w:basedOn w:val="Heading"/>
    <w:qFormat/>
    <w:pPr>
      <w:spacing w:before="120" w:after="80"/>
      <w:outlineLvl w:val="3"/>
    </w:pPr>
    <w:rPr>
      <w:rFonts w:ascii="Arial" w:hAnsi="Arial" w:eastAsia="Arial" w:cs="Arial"/>
      <w:b/>
      <w:bCs/>
      <w:color w:val="333333"/>
      <w:sz w:val="22"/>
      <w:szCs w:val="22"/>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InternetLink">
    <w:name w:val="Hyperlink"/>
    <w:uiPriority w:val="99"/>
    <w:unhideWhenUsed/>
    <w:rPr>
      <w:color w:val="0563C1"/>
      <w:u w:val="single" w:color="0563C1"/>
    </w:rPr>
  </w:style>
  <w:style w:type="character" w:styleId="FootnoteCharacters">
    <w:name w:val="Footnote Characters"/>
    <w:uiPriority w:val="99"/>
    <w:semiHidden/>
    <w:unhideWhenUsed/>
    <w:qFormat/>
    <w:rPr>
      <w:vertAlign w:val="superscript"/>
    </w:rPr>
  </w:style>
  <w:style w:type="character" w:styleId="FootnoteAnchor">
    <w:name w:val="Footnote Anchor"/>
    <w:rPr>
      <w:vertAlign w:val="superscript"/>
    </w:rPr>
  </w:style>
  <w:style w:type="character" w:styleId="FootnoteTextChar">
    <w:name w:val="Footnote Text Char"/>
    <w:link w:val="Footnote"/>
    <w:uiPriority w:val="99"/>
    <w:semiHidden/>
    <w:unhideWhenUsed/>
    <w:qFormat/>
    <w:rPr>
      <w:sz w:val="20"/>
      <w:szCs w:val="20"/>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itle">
    <w:name w:val="Title"/>
    <w:basedOn w:val="Heading"/>
    <w:qFormat/>
    <w:pPr/>
    <w:rPr>
      <w:sz w:val="56"/>
      <w:szCs w:val="56"/>
    </w:rPr>
  </w:style>
  <w:style w:type="paragraph" w:styleId="Strong">
    <w:name w:val="Strong"/>
    <w:qFormat/>
    <w:pPr>
      <w:widowControl/>
      <w:suppressAutoHyphens w:val="true"/>
      <w:bidi w:val="0"/>
      <w:spacing w:before="0" w:after="0"/>
      <w:jc w:val="left"/>
    </w:pPr>
    <w:rPr>
      <w:rFonts w:ascii="Arial" w:hAnsi="Arial" w:eastAsia="Arial" w:cs="Arial"/>
      <w:b/>
      <w:bCs/>
      <w:color w:val="auto"/>
      <w:kern w:val="0"/>
      <w:sz w:val="20"/>
      <w:szCs w:val="20"/>
      <w:lang w:val="en-US" w:eastAsia="zh-CN" w:bidi="hi-IN"/>
    </w:rPr>
  </w:style>
  <w:style w:type="paragraph" w:styleId="ListParagraph">
    <w:name w:val="List Paragraph"/>
    <w:qFormat/>
    <w:pPr>
      <w:widowControl/>
      <w:suppressAutoHyphens w:val="true"/>
      <w:bidi w:val="0"/>
      <w:spacing w:before="0" w:after="0"/>
      <w:jc w:val="left"/>
    </w:pPr>
    <w:rPr>
      <w:rFonts w:ascii="Arial" w:hAnsi="Arial" w:eastAsia="Arial" w:cs="Arial"/>
      <w:color w:val="auto"/>
      <w:kern w:val="0"/>
      <w:sz w:val="20"/>
      <w:szCs w:val="20"/>
      <w:lang w:val="en-US" w:eastAsia="zh-CN" w:bidi="hi-IN"/>
    </w:rPr>
  </w:style>
  <w:style w:type="paragraph" w:styleId="Footnote">
    <w:name w:val="Footnote Text"/>
    <w:basedOn w:val="Normal"/>
    <w:link w:val="Foot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link.storjshare.io/raw/jxo2jab6x3x7gv7lxv72geohlmua/serve/bin/27-CR-22-4239.pdf" TargetMode="External"/><Relationship Id="rId4" Type="http://schemas.openxmlformats.org/officeDocument/2006/relationships/hyperlink" Target="https://link.storjshare.io/raw/jxo2jab6x3x7gv7lxv72geohlmua/serve/bin/27-CR-22-4239.pdf" TargetMode="External"/><Relationship Id="rId5" Type="http://schemas.openxmlformats.org/officeDocument/2006/relationships/hyperlink" Target="https://link.storjshare.io/raw/jxo2jab6x3x7gv7lxv72geohlmua/serve/bin/27-CR-20-23521.pdf" TargetMode="External"/><Relationship Id="rId6" Type="http://schemas.openxmlformats.org/officeDocument/2006/relationships/hyperlink" Target="https://link.storjshare.io/raw/jxo2jab6x3x7gv7lxv72geohlmua/serve/bin/27-CR-22-23317.pdf" TargetMode="External"/><Relationship Id="rId7" Type="http://schemas.openxmlformats.org/officeDocument/2006/relationships/hyperlink" Target="https://link.storjshare.io/raw/jxo2jab6x3x7gv7lxv72geohlmua/serve/bin/27-CR-21-6229.pdf" TargetMode="External"/><Relationship Id="rId8" Type="http://schemas.openxmlformats.org/officeDocument/2006/relationships/hyperlink" Target="https://link.storjshare.io/raw/jxo2jab6x3x7gv7lxv72geohlmua/serve/bin/27-CR-20-20866.pdf" TargetMode="External"/><Relationship Id="rId9" Type="http://schemas.openxmlformats.org/officeDocument/2006/relationships/hyperlink" Target="https://link.storjshare.io/raw/jxo2jab6x3x7gv7lxv72geohlmua/serve/bin/27-CR-20-26577.pdf" TargetMode="Externa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17</TotalTime>
  <Application>LibreOffice/7.3.7.2$Linux_X86_64 LibreOffice_project/30$Build-2</Application>
  <AppVersion>15.0000</AppVersion>
  <Pages>24</Pages>
  <Words>5913</Words>
  <Characters>35560</Characters>
  <CharactersWithSpaces>41071</CharactersWithSpaces>
  <Paragraphs>624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2026-03-29T11:10:47Z</dcterms:created>
  <dc:creator>Un-named</dc:creator>
  <dc:description/>
  <dc:language>en-US</dc:language>
  <cp:lastModifiedBy/>
  <dcterms:modified xsi:type="dcterms:W3CDTF">2026-04-01T20:35:45Z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